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63A">
        <w:rPr>
          <w:rFonts w:ascii="Times New Roman" w:hAnsi="Times New Roman" w:cs="Times New Roman"/>
          <w:sz w:val="20"/>
          <w:szCs w:val="20"/>
        </w:rPr>
        <w:t xml:space="preserve">МДК 01.01 </w:t>
      </w:r>
      <w:r w:rsidRPr="00F1163A">
        <w:rPr>
          <w:rFonts w:ascii="Times New Roman" w:hAnsi="Times New Roman" w:cs="Times New Roman"/>
          <w:bCs/>
          <w:sz w:val="20"/>
          <w:szCs w:val="20"/>
        </w:rPr>
        <w:t>Электрические машины и аппараты.</w:t>
      </w: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163A">
        <w:rPr>
          <w:rFonts w:ascii="Times New Roman" w:hAnsi="Times New Roman" w:cs="Times New Roman"/>
          <w:sz w:val="20"/>
          <w:szCs w:val="20"/>
          <w:u w:val="single"/>
        </w:rPr>
        <w:t>Раздел 2. Электрические аппараты</w:t>
      </w:r>
    </w:p>
    <w:p w:rsidR="00F1163A" w:rsidRDefault="00F1163A" w:rsidP="00F1163A">
      <w:pPr>
        <w:tabs>
          <w:tab w:val="left" w:pos="6105"/>
        </w:tabs>
        <w:jc w:val="both"/>
        <w:rPr>
          <w:sz w:val="20"/>
          <w:szCs w:val="20"/>
        </w:rPr>
      </w:pPr>
    </w:p>
    <w:p w:rsidR="00F1163A" w:rsidRPr="009D165C" w:rsidRDefault="00F1163A" w:rsidP="00F116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1DA7" w:rsidRPr="00CA104C" w:rsidRDefault="00F1163A" w:rsidP="00871DA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Тема:</w:t>
      </w:r>
      <w:r w:rsidRPr="00F1163A">
        <w:rPr>
          <w:rFonts w:ascii="Times New Roman" w:eastAsia="Calibri" w:hAnsi="Times New Roman" w:cs="Times New Roman"/>
        </w:rPr>
        <w:t xml:space="preserve"> </w:t>
      </w:r>
      <w:r w:rsidR="00CA104C" w:rsidRPr="00CA104C">
        <w:rPr>
          <w:rFonts w:ascii="Times New Roman" w:eastAsia="Calibri" w:hAnsi="Times New Roman" w:cs="Times New Roman"/>
          <w:bCs/>
          <w:sz w:val="28"/>
          <w:szCs w:val="28"/>
        </w:rPr>
        <w:t>Классификация генераторов постоянного тока по способу возбуждения. Условия самовозбуждения.</w:t>
      </w:r>
    </w:p>
    <w:p w:rsidR="00A239CB" w:rsidRDefault="00F1163A">
      <w:pPr>
        <w:rPr>
          <w:rFonts w:ascii="Times New Roman" w:hAnsi="Times New Roman" w:cs="Times New Roman"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04C">
        <w:rPr>
          <w:rFonts w:ascii="Times New Roman" w:hAnsi="Times New Roman" w:cs="Times New Roman"/>
          <w:sz w:val="28"/>
          <w:szCs w:val="28"/>
        </w:rPr>
        <w:t>Изучение новой темы и конспектирование в тетрадь.</w:t>
      </w:r>
    </w:p>
    <w:p w:rsidR="00CA104C" w:rsidRPr="00CA104C" w:rsidRDefault="00CA104C" w:rsidP="00CA104C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A104C">
        <w:rPr>
          <w:rFonts w:ascii="Times New Roman" w:hAnsi="Times New Roman" w:cs="Times New Roman"/>
          <w:bCs/>
          <w:sz w:val="28"/>
          <w:szCs w:val="28"/>
          <w:lang w:bidi="ru-RU"/>
        </w:rPr>
        <w:t>Свойства генераторов постоянного тока зависят от числа и способа подключения обмоток возбуждения или, как говорят, от способа возбуждения генераторов. В зависимости от способа возбуждения различают:</w:t>
      </w:r>
    </w:p>
    <w:p w:rsidR="00CA104C" w:rsidRPr="00CA104C" w:rsidRDefault="00CA104C" w:rsidP="00CA104C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A104C">
        <w:rPr>
          <w:rFonts w:ascii="Times New Roman" w:hAnsi="Times New Roman" w:cs="Times New Roman"/>
          <w:bCs/>
          <w:sz w:val="28"/>
          <w:szCs w:val="28"/>
          <w:lang w:bidi="ru-RU"/>
        </w:rPr>
        <w:t>1) генераторы независимого возбуждения;</w:t>
      </w:r>
    </w:p>
    <w:p w:rsidR="00CA104C" w:rsidRPr="00CA104C" w:rsidRDefault="00CA104C" w:rsidP="00CA104C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A104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2) генераторы параллельного возбуждения (ранее </w:t>
      </w:r>
      <w:proofErr w:type="spellStart"/>
      <w:r w:rsidRPr="00CA104C">
        <w:rPr>
          <w:rFonts w:ascii="Times New Roman" w:hAnsi="Times New Roman" w:cs="Times New Roman"/>
          <w:bCs/>
          <w:sz w:val="28"/>
          <w:szCs w:val="28"/>
          <w:lang w:bidi="ru-RU"/>
        </w:rPr>
        <w:t>шунтовые</w:t>
      </w:r>
      <w:proofErr w:type="spellEnd"/>
      <w:r w:rsidRPr="00CA104C">
        <w:rPr>
          <w:rFonts w:ascii="Times New Roman" w:hAnsi="Times New Roman" w:cs="Times New Roman"/>
          <w:bCs/>
          <w:sz w:val="28"/>
          <w:szCs w:val="28"/>
          <w:lang w:bidi="ru-RU"/>
        </w:rPr>
        <w:t>);</w:t>
      </w:r>
    </w:p>
    <w:p w:rsidR="00CA104C" w:rsidRPr="00CA104C" w:rsidRDefault="00CA104C" w:rsidP="00CA104C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A104C">
        <w:rPr>
          <w:rFonts w:ascii="Times New Roman" w:hAnsi="Times New Roman" w:cs="Times New Roman"/>
          <w:bCs/>
          <w:sz w:val="28"/>
          <w:szCs w:val="28"/>
          <w:lang w:bidi="ru-RU"/>
        </w:rPr>
        <w:t>3) генераторы смешанного возбуждения (ранее компаундные).</w:t>
      </w:r>
    </w:p>
    <w:p w:rsidR="00871DA7" w:rsidRPr="00871DA7" w:rsidRDefault="00CA104C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A104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33625" cy="1152525"/>
            <wp:effectExtent l="0" t="0" r="9525" b="9525"/>
            <wp:docPr id="148" name="Рисунок 148" descr="https://findout.su/findoutsu/baza4/1285838507657.files/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indout.su/findoutsu/baza4/1285838507657.files/image09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BE" w:rsidRDefault="00CA104C" w:rsidP="002624B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Рис. 9.12. Схема включения генератора независимого возбуждения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Главный магнитный поток генератора независимого возбуждения (рис. 9.12) возбуждается расположенной на главных полюсах обмоткой независимого возбуждения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A104C">
        <w:rPr>
          <w:rFonts w:ascii="Times New Roman" w:hAnsi="Times New Roman" w:cs="Times New Roman"/>
          <w:sz w:val="28"/>
          <w:szCs w:val="28"/>
        </w:rPr>
        <w:t> —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10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104C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 xml:space="preserve"> получает питание от постороннего источника электрической энергии постоянного тока небольшой мощности. Номинальное напряжение обмотки возбуждения выбирают либо равным, либо иногда меньшим номинального напряжения якоря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gramStart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> —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104C">
        <w:rPr>
          <w:rFonts w:ascii="Times New Roman" w:hAnsi="Times New Roman" w:cs="Times New Roman"/>
          <w:sz w:val="28"/>
          <w:szCs w:val="28"/>
        </w:rPr>
        <w:t> генератора.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Цепь обмотки возбуждения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Start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> —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104C">
        <w:rPr>
          <w:rFonts w:ascii="Times New Roman" w:hAnsi="Times New Roman" w:cs="Times New Roman"/>
          <w:sz w:val="28"/>
          <w:szCs w:val="28"/>
        </w:rPr>
        <w:t> генератора параллельного возбуждения (см. рис. 9.16) включают параллельно якорю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A104C">
        <w:rPr>
          <w:rFonts w:ascii="Times New Roman" w:hAnsi="Times New Roman" w:cs="Times New Roman"/>
          <w:sz w:val="28"/>
          <w:szCs w:val="28"/>
        </w:rPr>
        <w:t> —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104C">
        <w:rPr>
          <w:rFonts w:ascii="Times New Roman" w:hAnsi="Times New Roman" w:cs="Times New Roman"/>
          <w:sz w:val="28"/>
          <w:szCs w:val="28"/>
        </w:rPr>
        <w:t xml:space="preserve">, от которого она и </w:t>
      </w:r>
      <w:proofErr w:type="spellStart"/>
      <w:r w:rsidRPr="00CA104C">
        <w:rPr>
          <w:rFonts w:ascii="Times New Roman" w:hAnsi="Times New Roman" w:cs="Times New Roman"/>
          <w:sz w:val="28"/>
          <w:szCs w:val="28"/>
        </w:rPr>
        <w:t>получаст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 xml:space="preserve"> питание. Обмотку возбуждения рассчитывают в этом случае на то же напряжение, что и якорь генератора.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Магнитный поток Ф генератора смешанного возбуждения (см. рис. 9.19) возбуждается расположенными на главных полюсах двумя обмотками: обмоткой параллельного возбуждения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Start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> —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104C">
        <w:rPr>
          <w:rFonts w:ascii="Times New Roman" w:hAnsi="Times New Roman" w:cs="Times New Roman"/>
          <w:sz w:val="28"/>
          <w:szCs w:val="28"/>
        </w:rPr>
        <w:t xml:space="preserve"> и обмоткой </w:t>
      </w:r>
      <w:r w:rsidRPr="00CA104C">
        <w:rPr>
          <w:rFonts w:ascii="Times New Roman" w:hAnsi="Times New Roman" w:cs="Times New Roman"/>
          <w:sz w:val="28"/>
          <w:szCs w:val="28"/>
        </w:rPr>
        <w:lastRenderedPageBreak/>
        <w:t>последовательного возбуждения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A104C">
        <w:rPr>
          <w:rFonts w:ascii="Times New Roman" w:hAnsi="Times New Roman" w:cs="Times New Roman"/>
          <w:sz w:val="28"/>
          <w:szCs w:val="28"/>
        </w:rPr>
        <w:t> —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104C">
        <w:rPr>
          <w:rFonts w:ascii="Times New Roman" w:hAnsi="Times New Roman" w:cs="Times New Roman"/>
          <w:sz w:val="28"/>
          <w:szCs w:val="28"/>
        </w:rPr>
        <w:t>. Последнюю включают либо так, как показано на рис. 9.19, в цепь приемника </w:t>
      </w:r>
      <w:proofErr w:type="spellStart"/>
      <w:proofErr w:type="gram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gramEnd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, либо последовательно с якорем. В большинстве случаев обмотки параллельного и последовательного возбуждения включают согласно, т. е. таким образом, чтобы их МДС совпадали по направлению.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Обмотки независимого и параллельного возбуждения существенно отличаются от обмотки последовательного возбуждения в конструктивном отношении. Обмотки независимого и параллельного возбуждения изготовляются из провода относительно малого диаметра, имеют сравнительно большие числа витков и сопротивления. В отличие от этого обмотка последовательного возбуждения изготовляется из провода относительно большого диаметра, имеет небольшое число витков и сопротивление. Например, у машин мощностью от 5 до 100 кВт на напряжение 220</w:t>
      </w:r>
      <w:proofErr w:type="gramStart"/>
      <w:r w:rsidRPr="00CA104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 xml:space="preserve"> обмотки параллельного возбуждения имеют соответственно сопротивления порядка 300 — 50 Ом, тогда как обмотки последовательного возбуждения — порядка 0,01 — 0,001 Ом. Площадь поперечного сечения провода для изготовления последовательной обмотки выбирают такого диаметра, чтобы обмотка не перегревалась под действием тока приемника.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В цепи обмоток возбуждения (см. рис. 9.12, 9.16 и 9.19) имеется реостат </w:t>
      </w:r>
      <w:proofErr w:type="spellStart"/>
      <w:proofErr w:type="gram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gramEnd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, служащий для изменения тока возбуждения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, что необходимо в конечном итоге для регулирования напряжения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U </w:t>
      </w:r>
      <w:r w:rsidRPr="00CA104C">
        <w:rPr>
          <w:rFonts w:ascii="Times New Roman" w:hAnsi="Times New Roman" w:cs="Times New Roman"/>
          <w:sz w:val="28"/>
          <w:szCs w:val="28"/>
        </w:rPr>
        <w:t>на выводах генератора и приемника. Сопротивление нагрузки </w:t>
      </w:r>
      <w:proofErr w:type="spellStart"/>
      <w:proofErr w:type="gram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gramEnd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 следует рассматривать как некоторое эквивалентное сопротивление, заменяющее группу приемников, получающих питание от генератора.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 xml:space="preserve">В некоторых установках находят применение </w:t>
      </w:r>
      <w:proofErr w:type="spellStart"/>
      <w:r w:rsidRPr="00CA104C">
        <w:rPr>
          <w:rFonts w:ascii="Times New Roman" w:hAnsi="Times New Roman" w:cs="Times New Roman"/>
          <w:sz w:val="28"/>
          <w:szCs w:val="28"/>
        </w:rPr>
        <w:t>трехобмоточные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 xml:space="preserve"> генераторы, имеющие обмотки независимого, параллельного и последовательного возбуждения. Они имеют особые свойства и характеристики.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b/>
          <w:bCs/>
          <w:sz w:val="28"/>
          <w:szCs w:val="28"/>
        </w:rPr>
        <w:br/>
        <w:t>КЛАССИФИКАЦИЯ ГЕНЕРАТОРОВ ПОСТОЯННОГО ТОКА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Классификация генераторов постоянного тока производится по способу их возбуждения. Они подразделяются на генераторы с независимым возбуждением и самовозбуждением.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 xml:space="preserve">Генераторы первого типа выполняются с электромагнитным и магнитоэлектрическим возбуждением. В генераторах с электромагнитным возбуждением обмотка возбуждения, располагаемая на главных полюсах, </w:t>
      </w:r>
      <w:r w:rsidRPr="00CA104C">
        <w:rPr>
          <w:rFonts w:ascii="Times New Roman" w:hAnsi="Times New Roman" w:cs="Times New Roman"/>
          <w:sz w:val="28"/>
          <w:szCs w:val="28"/>
        </w:rPr>
        <w:lastRenderedPageBreak/>
        <w:t>подключается к независимому источнику питания (рис. 1, а). Ток в цепи возбуждения </w:t>
      </w:r>
      <w:proofErr w:type="spellStart"/>
      <w:proofErr w:type="gram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 может изменяться в широких пределах с помощью переменного резистора </w:t>
      </w:r>
      <w:proofErr w:type="spell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a</w:t>
      </w:r>
      <w:proofErr w:type="spellEnd"/>
      <w:r w:rsidRPr="00CA104C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CA104C">
        <w:rPr>
          <w:rFonts w:ascii="Times New Roman" w:hAnsi="Times New Roman" w:cs="Times New Roman"/>
          <w:sz w:val="28"/>
          <w:szCs w:val="28"/>
        </w:rPr>
        <w:t>Мощность, потребляемая обмоткой возбуждения, невелика и в номинальном режиме составляет 1-5 % номинальной мощности якоря генератора. Обычно процентное значение мощности возбуждения уменьшается с возрастанием номинальной мощности машины.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Генераторы с магнитоэлектрическим возбуждением возбуждаются постоянными магнитами, из которых изготовляются полюсы машины. С таким видом возбуждения выполняются генераторы относительно небольшой мощности, которые применяются в специальных случаях. Недостатком генераторов с магнитоэлектрическим возбуждением является трудность регулирования напряжения.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У генераторов с самовозбуждением обмотка возбуждения получает питание от собственного якоря. В зависимости от способа ее включения генераторы с самовозбуждением подразделяются на генераторы с параллельным, последовательным и смешанным возбуждением.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 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162175"/>
            <wp:effectExtent l="0" t="0" r="9525" b="9525"/>
            <wp:docPr id="150" name="Рисунок 150" descr="https://findout.su/findoutsu/baza4/1285838507657.files/image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indout.su/findoutsu/baza4/1285838507657.files/image0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 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 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Схема соединения генератора параллельного возбуждения показана на рис. 1,б. Переменный резистор 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B</w:t>
      </w:r>
      <w:r w:rsidRPr="00CA104C">
        <w:rPr>
          <w:rFonts w:ascii="Times New Roman" w:hAnsi="Times New Roman" w:cs="Times New Roman"/>
          <w:sz w:val="28"/>
          <w:szCs w:val="28"/>
        </w:rPr>
        <w:t> дает возможность изменять ток возбуждения </w:t>
      </w:r>
      <w:proofErr w:type="spellStart"/>
      <w:proofErr w:type="gram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 и, следовательно, выходное напряжение. Ток якоря </w:t>
      </w:r>
      <w:proofErr w:type="spell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a</w:t>
      </w:r>
      <w:proofErr w:type="spellEnd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A104C">
        <w:rPr>
          <w:rFonts w:ascii="Times New Roman" w:hAnsi="Times New Roman" w:cs="Times New Roman"/>
          <w:sz w:val="28"/>
          <w:szCs w:val="28"/>
        </w:rPr>
        <w:t>у этого генератора равен </w:t>
      </w:r>
      <w:proofErr w:type="spell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a</w:t>
      </w:r>
      <w:proofErr w:type="spellEnd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 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= I + </w:t>
      </w:r>
      <w:proofErr w:type="spellStart"/>
      <w:proofErr w:type="gram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, где 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sz w:val="28"/>
          <w:szCs w:val="28"/>
        </w:rPr>
        <w:t> - ток нагрузки. Ток возбуждения относительно мал и для номинального режима составляет 1-5 % номинального тока машины.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lastRenderedPageBreak/>
        <w:t>У генератора последовательного возбуждения обмотка возбуждения соединяется последовательно с якорем и ее ток возбуждения равен току якоря и току нагрузки: </w:t>
      </w:r>
      <w:proofErr w:type="spellStart"/>
      <w:proofErr w:type="gram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 =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a</w:t>
      </w:r>
      <w:proofErr w:type="spellEnd"/>
      <w:r w:rsidRPr="00CA104C">
        <w:rPr>
          <w:rFonts w:ascii="Times New Roman" w:hAnsi="Times New Roman" w:cs="Times New Roman"/>
          <w:i/>
          <w:iCs/>
          <w:sz w:val="28"/>
          <w:szCs w:val="28"/>
        </w:rPr>
        <w:t> =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A104C">
        <w:rPr>
          <w:rFonts w:ascii="Times New Roman" w:hAnsi="Times New Roman" w:cs="Times New Roman"/>
          <w:sz w:val="28"/>
          <w:szCs w:val="28"/>
        </w:rPr>
        <w:t>(рис. 1, в).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У генераторов смешанного возбуждения (рис. 1, г) на полюсах размещаются две обмотки. Одна из них, имеющая большое число витков и выполненная из проводников относительно небольшого сечения, включается параллельно с якорем, а другая обмотка с малым числом витков из проводников большого сечения включается последовательно с якорем. Ток якоря такого генератора равен </w:t>
      </w:r>
      <w:proofErr w:type="spell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a</w:t>
      </w:r>
      <w:proofErr w:type="spellEnd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 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= I + </w:t>
      </w:r>
      <w:proofErr w:type="spellStart"/>
      <w:proofErr w:type="gram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 xml:space="preserve">У этих генераторов параллельная и последовательная обмотки могут быть включены согласно (МДС этих обмоток направлены одинаково) и встречно (их МДС направлены противоположно). В зависимости от этого различаются генераторы смешанного согласного включения и генераторы смешанного встречного включения. Обычно в генераторах смешанного возбуждения основная часть МДС возбуждения создается параллельной обмоткой. Генераторы параллельного, последовательного и смешанного возбуждения иногда называют соответственно генераторами </w:t>
      </w:r>
      <w:proofErr w:type="spellStart"/>
      <w:r w:rsidRPr="00CA104C">
        <w:rPr>
          <w:rFonts w:ascii="Times New Roman" w:hAnsi="Times New Roman" w:cs="Times New Roman"/>
          <w:sz w:val="28"/>
          <w:szCs w:val="28"/>
        </w:rPr>
        <w:t>шунтового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04C">
        <w:rPr>
          <w:rFonts w:ascii="Times New Roman" w:hAnsi="Times New Roman" w:cs="Times New Roman"/>
          <w:sz w:val="28"/>
          <w:szCs w:val="28"/>
        </w:rPr>
        <w:t>сериесного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 xml:space="preserve"> и компаундного возбуждения.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Согласно ГОСТ 183-74 для машин постоянного тока принято следующее обозначение выводов обмоток: обмотки якоря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Я1-Я2,</w:t>
      </w:r>
      <w:r w:rsidRPr="00CA104C">
        <w:rPr>
          <w:rFonts w:ascii="Times New Roman" w:hAnsi="Times New Roman" w:cs="Times New Roman"/>
          <w:sz w:val="28"/>
          <w:szCs w:val="28"/>
        </w:rPr>
        <w:t>параллельной обмотки возбуждения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Ш1</w:t>
      </w:r>
      <w:r w:rsidRPr="00CA104C">
        <w:rPr>
          <w:rFonts w:ascii="Times New Roman" w:hAnsi="Times New Roman" w:cs="Times New Roman"/>
          <w:sz w:val="28"/>
          <w:szCs w:val="28"/>
        </w:rPr>
        <w:t>-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Ш2, </w:t>
      </w:r>
      <w:r w:rsidRPr="00CA104C">
        <w:rPr>
          <w:rFonts w:ascii="Times New Roman" w:hAnsi="Times New Roman" w:cs="Times New Roman"/>
          <w:sz w:val="28"/>
          <w:szCs w:val="28"/>
        </w:rPr>
        <w:t>последовательной обмотки возбуждения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С1</w:t>
      </w:r>
      <w:r w:rsidRPr="00CA104C">
        <w:rPr>
          <w:rFonts w:ascii="Times New Roman" w:hAnsi="Times New Roman" w:cs="Times New Roman"/>
          <w:sz w:val="28"/>
          <w:szCs w:val="28"/>
        </w:rPr>
        <w:t>-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С2, </w:t>
      </w:r>
      <w:r w:rsidRPr="00CA104C">
        <w:rPr>
          <w:rFonts w:ascii="Times New Roman" w:hAnsi="Times New Roman" w:cs="Times New Roman"/>
          <w:sz w:val="28"/>
          <w:szCs w:val="28"/>
        </w:rPr>
        <w:t>обмотки дополнительных полюсов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Д1</w:t>
      </w:r>
      <w:r w:rsidRPr="00CA104C">
        <w:rPr>
          <w:rFonts w:ascii="Times New Roman" w:hAnsi="Times New Roman" w:cs="Times New Roman"/>
          <w:sz w:val="28"/>
          <w:szCs w:val="28"/>
        </w:rPr>
        <w:t>-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Д2, </w:t>
      </w:r>
      <w:r w:rsidRPr="00CA104C">
        <w:rPr>
          <w:rFonts w:ascii="Times New Roman" w:hAnsi="Times New Roman" w:cs="Times New Roman"/>
          <w:sz w:val="28"/>
          <w:szCs w:val="28"/>
        </w:rPr>
        <w:t>компенсационной обмотки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К1-К2</w:t>
      </w:r>
      <w:r w:rsidRPr="00CA104C">
        <w:rPr>
          <w:rFonts w:ascii="Times New Roman" w:hAnsi="Times New Roman" w:cs="Times New Roman"/>
          <w:sz w:val="28"/>
          <w:szCs w:val="28"/>
        </w:rPr>
        <w:t>. Цифра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1 </w:t>
      </w:r>
      <w:r w:rsidRPr="00CA104C">
        <w:rPr>
          <w:rFonts w:ascii="Times New Roman" w:hAnsi="Times New Roman" w:cs="Times New Roman"/>
          <w:sz w:val="28"/>
          <w:szCs w:val="28"/>
        </w:rPr>
        <w:t>обозначает начало, а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2 </w:t>
      </w:r>
      <w:r w:rsidRPr="00CA104C">
        <w:rPr>
          <w:rFonts w:ascii="Times New Roman" w:hAnsi="Times New Roman" w:cs="Times New Roman"/>
          <w:sz w:val="28"/>
          <w:szCs w:val="28"/>
        </w:rPr>
        <w:t>- конец обмотки.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В зависимости от способа питания обмотки возбуждения для современных генераторов постоянного тока применяется независимое возбуждение магнитного потока и самовозбуждение.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167" name="Рисунок 167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При независимом возбуждении (рис. 154, а) обмотка возбуждения соединяется с вспомогательным источником энергии постоянного тока. Для регулирования тока возбуждения </w:t>
      </w:r>
      <w:proofErr w:type="spellStart"/>
      <w:proofErr w:type="gram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 в цепи обмотки включается сопротивление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. При таком возбуждении ток </w:t>
      </w:r>
      <w:proofErr w:type="spellStart"/>
      <w:proofErr w:type="gram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 не зависит от тока в якоре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4000" cy="3724275"/>
            <wp:effectExtent l="0" t="0" r="0" b="9525"/>
            <wp:docPr id="166" name="Рисунок 166" descr="https://findout.su/findoutsu/baza4/1285838507657.files/imag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indout.su/findoutsu/baza4/1285838507657.files/image1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165" name="Рисунок 165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Недостатком генераторов независимого возбуждения является потребность в дополнительном источнике энергии. Несмотря на то, что этот источник обычно имеет малую мощность (несколько процентов мощности генераторов), необходимость в нем является большим неудобством и поэтому генераторы независимого возбуждения находят ограниченное применение в специальных установках (ГД) и в машинах высоких напряжений, у которых питание обмотки возбуждения от цепи якоря недопустимо по конструктивным соображениям.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164" name="Рисунок 164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Генераторы с самовозбуждением имеют более широкое применение. В зависимости от соединения обмотки возбуждения они могут быть параллельного (рис. 154, б), последовательного (рис. 154, в) и смешанного (рис. 154, г) возбуждения.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163" name="Рисунок 163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У генераторов параллельного возбуждения ток </w:t>
      </w:r>
      <w:proofErr w:type="spellStart"/>
      <w:proofErr w:type="gram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 xml:space="preserve"> мал (несколько процентов номинального тока якоря), а обмотка возбуждения имеет большое число витков. При последовательном возбуждении током возбуждения служит ток </w:t>
      </w:r>
      <w:proofErr w:type="gramStart"/>
      <w:r w:rsidRPr="00CA104C">
        <w:rPr>
          <w:rFonts w:ascii="Times New Roman" w:hAnsi="Times New Roman" w:cs="Times New Roman"/>
          <w:sz w:val="28"/>
          <w:szCs w:val="28"/>
        </w:rPr>
        <w:t>якоря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 xml:space="preserve"> и обмотка возбуждения имеет малое число витков.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162" name="Рисунок 162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При смешанном возбуждении на полюсах генератора помещается две обмотки возбуждения — параллельная и последовательная.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161" name="Рисунок 161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Процесс самовозбуждения генераторов постоянного тока протекает одинаково при любой схеме возбуждения. Рассмотрим процесс самовозбуждения генератора параллельного возбуждения, получившего наиболее широкое применение.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0500" cy="9525"/>
            <wp:effectExtent l="0" t="0" r="0" b="0"/>
            <wp:docPr id="160" name="Рисунок 160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 xml:space="preserve"> Какой-либо первичный двигатель вращает якорь генератора, в магнитной цепи (ярмо и сердечники полюсов) которого сохранился небольшой остаточный магнитный поток </w:t>
      </w:r>
      <w:proofErr w:type="spellStart"/>
      <w:r w:rsidRPr="00CA104C">
        <w:rPr>
          <w:rFonts w:ascii="Times New Roman" w:hAnsi="Times New Roman" w:cs="Times New Roman"/>
          <w:sz w:val="28"/>
          <w:szCs w:val="28"/>
        </w:rPr>
        <w:t>Φ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. Этим магнитным потоком в обмотке вращающегося якоря индуктируется э. д. с.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, составляющая несколько процентов номинального напряжения машины.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159" name="Рисунок 159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Под действием э. д. с.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 в замкнутой цепи, состоящей из якоря и обмотки возбуждения, протекает ток </w:t>
      </w:r>
      <w:proofErr w:type="spellStart"/>
      <w:proofErr w:type="gram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. Намагничивающая сила обмотки возбуждения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CA104C">
        <w:rPr>
          <w:rFonts w:ascii="Times New Roman" w:hAnsi="Times New Roman" w:cs="Times New Roman"/>
          <w:sz w:val="28"/>
          <w:szCs w:val="28"/>
        </w:rPr>
        <w:t>ω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CA104C">
        <w:rPr>
          <w:rFonts w:ascii="Times New Roman" w:hAnsi="Times New Roman" w:cs="Times New Roman"/>
          <w:sz w:val="28"/>
          <w:szCs w:val="28"/>
        </w:rPr>
        <w:t>ω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 xml:space="preserve"> — число витков) направлена согласно с потоком остаточного магнетизма, увеличивая магнитный поток машины </w:t>
      </w:r>
      <w:proofErr w:type="spellStart"/>
      <w:r w:rsidRPr="00CA104C">
        <w:rPr>
          <w:rFonts w:ascii="Times New Roman" w:hAnsi="Times New Roman" w:cs="Times New Roman"/>
          <w:sz w:val="28"/>
          <w:szCs w:val="28"/>
        </w:rPr>
        <w:t>Φ</w:t>
      </w:r>
      <w:r w:rsidRPr="00CA104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, что вызывает увеличение как э. д. с. в обмотке якоря</w:t>
      </w:r>
      <w:proofErr w:type="gramStart"/>
      <w:r w:rsidRPr="00CA104C">
        <w:rPr>
          <w:rFonts w:ascii="Times New Roman" w:hAnsi="Times New Roman" w:cs="Times New Roman"/>
          <w:sz w:val="28"/>
          <w:szCs w:val="28"/>
        </w:rPr>
        <w:t>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>, так и тока в обмотке возбуждения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 xml:space="preserve">. Увеличение последнего вызывает дальнейшее увеличение </w:t>
      </w:r>
      <w:proofErr w:type="spellStart"/>
      <w:r w:rsidRPr="00CA104C">
        <w:rPr>
          <w:rFonts w:ascii="Times New Roman" w:hAnsi="Times New Roman" w:cs="Times New Roman"/>
          <w:sz w:val="28"/>
          <w:szCs w:val="28"/>
        </w:rPr>
        <w:t>Φ</w:t>
      </w:r>
      <w:r w:rsidRPr="00CA104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, что в свою очередь увеличивает</w:t>
      </w:r>
      <w:proofErr w:type="gramStart"/>
      <w:r w:rsidRPr="00CA104C">
        <w:rPr>
          <w:rFonts w:ascii="Times New Roman" w:hAnsi="Times New Roman" w:cs="Times New Roman"/>
          <w:sz w:val="28"/>
          <w:szCs w:val="28"/>
        </w:rPr>
        <w:t>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158" name="Рисунок 158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 xml:space="preserve"> Из-за насыщения стали магнитной цепи машины самовозбуждение происходит не беспредельно, а до какого-то определенного напряжения, зависящего от скорости вращения якоря машины и сопротивления цепи обмотки возбуждения. При насыщении стали магнитной цепи увеличение магнитного потока </w:t>
      </w:r>
      <w:proofErr w:type="gramStart"/>
      <w:r w:rsidRPr="00CA104C">
        <w:rPr>
          <w:rFonts w:ascii="Times New Roman" w:hAnsi="Times New Roman" w:cs="Times New Roman"/>
          <w:sz w:val="28"/>
          <w:szCs w:val="28"/>
        </w:rPr>
        <w:t>замедляется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 xml:space="preserve"> и процесс самовозбуждения заканчивается. Увеличение сопротивления в цепи обмотки возбуждения уменьшает как ток в ней, так и магнитный поток, возбуждаемый этим током. Поэтому уменьшается э. д. с. и напряжение, до которого возбуждается генератор.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157" name="Рисунок 157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Изменение скорости вращения якоря генератора вызывает изменение э. д. с., которая пропорциональна скорости, вследствие чего изменяется и напряжение, до которого возбуждается генератор.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156" name="Рисунок 156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 xml:space="preserve"> Самовозбуждение генератора происходит лишь при определенных условиях, которые сводятся </w:t>
      </w:r>
      <w:proofErr w:type="gramStart"/>
      <w:r w:rsidRPr="00CA10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 xml:space="preserve"> следующим.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155" name="Рисунок 155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1. Наличие потока остаточного магнетизма. При отсутствии этого потока не создается э. д. с.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, под действием которой в обмотке возбуждения начинает протекать ток, так что возбуждение генератора будет невозможным. Если машина размагничена и не имеет остаточного намагничивания, то по обмотке возбуждения надо пропустить постоянный ток от какого-либо постороннего источника электрической энергии. После отключения обмотки возбуждения в машине сохранится остаточный магнитный поток.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154" name="Рисунок 154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2. Обмотка возбуждения должна быть включена так, чтобы намагничивающая сила этой обмотки увеличивала поток остаточного магнетизма.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153" name="Рисунок 153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 xml:space="preserve"> При встречном включении обмотки возбуждения ее намагничивающая сила будет уменьшать остаточный магнитный поток и при длительной работе может полностью размагнитить машину. В этом случае в обмотке </w:t>
      </w:r>
      <w:r w:rsidRPr="00CA104C">
        <w:rPr>
          <w:rFonts w:ascii="Times New Roman" w:hAnsi="Times New Roman" w:cs="Times New Roman"/>
          <w:sz w:val="28"/>
          <w:szCs w:val="28"/>
        </w:rPr>
        <w:lastRenderedPageBreak/>
        <w:t>возбуждения необходимо изменить направление тока, т. е. поменять местами провода, подходящие к ее зажимам.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152" name="Рисунок 152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3. Сопротивление цепи обмотки возбуждения должно быть не чрезмерно большим; при очень большом сопротивлении цепи возбуждения самовозбуждение генератора невозможно.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151" name="Рисунок 151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4. Сопротивление внешней нагрузки должно быть относительно велико, так как при малом сопротивлении ток возбуждения будет также мал и самовозбуждения происходить не будет.</w:t>
      </w:r>
    </w:p>
    <w:p w:rsidR="00CA104C" w:rsidRPr="00871DA7" w:rsidRDefault="00CA104C" w:rsidP="002624B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2624BE" w:rsidRPr="00A239CB" w:rsidRDefault="002624BE" w:rsidP="00A239C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28391F" w:rsidRPr="00330977" w:rsidRDefault="0028391F" w:rsidP="0033097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28391F" w:rsidRPr="0033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88" w:rsidRDefault="00780988" w:rsidP="00F1163A">
      <w:pPr>
        <w:spacing w:after="0" w:line="240" w:lineRule="auto"/>
      </w:pPr>
      <w:r>
        <w:separator/>
      </w:r>
    </w:p>
  </w:endnote>
  <w:endnote w:type="continuationSeparator" w:id="0">
    <w:p w:rsidR="00780988" w:rsidRDefault="00780988" w:rsidP="00F1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88" w:rsidRDefault="00780988" w:rsidP="00F1163A">
      <w:pPr>
        <w:spacing w:after="0" w:line="240" w:lineRule="auto"/>
      </w:pPr>
      <w:r>
        <w:separator/>
      </w:r>
    </w:p>
  </w:footnote>
  <w:footnote w:type="continuationSeparator" w:id="0">
    <w:p w:rsidR="00780988" w:rsidRDefault="00780988" w:rsidP="00F1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44F"/>
    <w:multiLevelType w:val="multilevel"/>
    <w:tmpl w:val="145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CD4CBB"/>
    <w:multiLevelType w:val="multilevel"/>
    <w:tmpl w:val="E77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A"/>
    <w:rsid w:val="002624BE"/>
    <w:rsid w:val="0028391F"/>
    <w:rsid w:val="00330977"/>
    <w:rsid w:val="0045751C"/>
    <w:rsid w:val="00780988"/>
    <w:rsid w:val="00871DA7"/>
    <w:rsid w:val="009D165C"/>
    <w:rsid w:val="00A239CB"/>
    <w:rsid w:val="00B820B9"/>
    <w:rsid w:val="00B9412F"/>
    <w:rsid w:val="00CA104C"/>
    <w:rsid w:val="00EF44E7"/>
    <w:rsid w:val="00F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2021-12-10T09:54:00Z</dcterms:created>
  <dcterms:modified xsi:type="dcterms:W3CDTF">2021-12-10T09:54:00Z</dcterms:modified>
</cp:coreProperties>
</file>