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Задание: Сделать конспект приготовиться  к тестам.</w:t>
      </w:r>
    </w:p>
    <w:p w:rsid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АХХФМА ТАКХС -21</w:t>
      </w:r>
    </w:p>
    <w:p w:rsid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</w:p>
    <w:p w:rsid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Лекция 8  тема: </w:t>
      </w:r>
      <w:r>
        <w:rPr>
          <w:rStyle w:val="fontstyle01"/>
          <w:rFonts w:ascii="Times New Roman" w:hAnsi="Times New Roman"/>
        </w:rPr>
        <w:t>С</w:t>
      </w:r>
      <w:r w:rsidRPr="00E65B82">
        <w:rPr>
          <w:rStyle w:val="fontstyle01"/>
          <w:rFonts w:ascii="Times New Roman" w:hAnsi="Times New Roman"/>
        </w:rPr>
        <w:t>тепень извлечения, коэффициент концентрирования, коэффициент разделения.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Каждый метод концентрирования имеет свои количественные характеристики. При описании любого метода концентрирования </w:t>
      </w:r>
      <w:proofErr w:type="gram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используют</w:t>
      </w:r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по крайней мере три величины: степень извлечения, коэффициент концентрирования, коэффициент разделения.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Степень извлечения R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— это безразмерная величина, показывающая, какая доля от абсолютного количества микрокомпонента сосредоточена в концентрате: </w:t>
      </w: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931545" cy="647065"/>
            <wp:effectExtent l="0" t="0" r="1905" b="635"/>
            <wp:docPr id="8" name="Рисунок 8" descr="https://ozlib.com/htm/img/17/20314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lib.com/htm/img/17/20314/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где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n</w:t>
      </w:r>
      <w:proofErr w:type="gram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р</w:t>
      </w:r>
      <w:proofErr w:type="spellEnd"/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— абсолютные количества микрокомпонента в концентрате и пробе. Степень извлечения чаще выражают в процентах: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1414780" cy="603885"/>
            <wp:effectExtent l="0" t="0" r="0" b="5715"/>
            <wp:docPr id="7" name="Рисунок 7" descr="https://ozlib.com/htm/img/17/20314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lib.com/htm/img/17/20314/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Степень извлечения обычно составляет менее 100% (или менее 1, если не переводят в проценты), поскольку микрокомпонент может теряться на стадиях разложения пробы и концентрирования вследствие испарения или неполного отделения, неполного разложения пробы, неаккуратных действий экспериментатора и значительной сорбции микрокомпонента стенками посуды и аппаратуры.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Зная степень извлечения, можно исправить результат определения, введя поправку на систематическую погрешность из-за потери микрокомпонента при неполном его извлечении, например, если степень извлечения равна 0,8, результат анализа следует разделить на 0,8.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Степень извлечения чаще всего устанавливают путем анализа стандартных либо специально приготовленных образцов с известным содержанием микрокомпонента. Из-за возможности потерь и загрязнений такой анализ следует проводить в строго контролируемых условиях, полностью имитирующих реальный процесс концентрирования. Степень извлечения может зависеть от концентрации микрокомпонента и его агрегатного состояния, что выясняют обычно на стадии разработки и апробации конкретного приема концентрирования.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lastRenderedPageBreak/>
        <w:t>Как правило, при работе с низкими концентрациями опасность потерь возрастает. В неорганическом анализе в большинстве случаев необходимо достигать степени извлечения микрокомпонентов более чем 95% или, по крайней мере, 90%.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Коэффициент концентрирования,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или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 xml:space="preserve">фактор обогащения, </w:t>
      </w:r>
      <w:proofErr w:type="gram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К</w:t>
      </w:r>
      <w:proofErr w:type="gramEnd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 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показывает, во сколько раз изменилось отношение абсолютных количеств микрокомпонента и матрицы в концентрате и в исходной пробе: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3769995" cy="733425"/>
            <wp:effectExtent l="0" t="0" r="1905" b="9525"/>
            <wp:docPr id="6" name="Рисунок 6" descr="https://ozlib.com/htm/img/17/20314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zlib.com/htm/img/17/20314/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где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np</w:t>
      </w:r>
      <w:proofErr w:type="spellEnd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 —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абсолютные количества матрицы в концентрате и пробе,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 с/</w:t>
      </w:r>
      <w:proofErr w:type="spellStart"/>
      <w:proofErr w:type="gramStart"/>
      <w:r w:rsidRPr="00E70718">
        <w:rPr>
          <w:rFonts w:ascii="Arial" w:eastAsia="Times New Roman" w:hAnsi="Arial" w:cs="Arial"/>
          <w:color w:val="373D3F"/>
          <w:sz w:val="20"/>
          <w:szCs w:val="20"/>
          <w:vertAlign w:val="subscript"/>
          <w:lang w:eastAsia="ru-RU"/>
        </w:rPr>
        <w:t>пр</w:t>
      </w:r>
      <w:proofErr w:type="spellEnd"/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 — абсолютные количества микрокомпонента там же, </w:t>
      </w:r>
      <w:proofErr w:type="spell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Л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bscript"/>
          <w:lang w:eastAsia="ru-RU"/>
        </w:rPr>
        <w:t>М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икр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и /?</w:t>
      </w:r>
      <w:proofErr w:type="spellStart"/>
      <w:r w:rsidRPr="00E70718">
        <w:rPr>
          <w:rFonts w:ascii="Arial" w:eastAsia="Times New Roman" w:hAnsi="Arial" w:cs="Arial"/>
          <w:color w:val="373D3F"/>
          <w:sz w:val="20"/>
          <w:szCs w:val="20"/>
          <w:vertAlign w:val="subscript"/>
          <w:lang w:eastAsia="ru-RU"/>
        </w:rPr>
        <w:t>мшр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— степень извлечения микрокомпонента и матрицы. Таким образом, коэффициент концентрирования можно выразить через отношение степеней извлечения микрокомпонента и матрицы. При любом практически полезном концентрировании </w:t>
      </w:r>
      <w:proofErr w:type="spell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Лмикр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= 1, так что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1691005" cy="655320"/>
            <wp:effectExtent l="0" t="0" r="4445" b="0"/>
            <wp:docPr id="5" name="Рисунок 5" descr="https://ozlib.com/htm/img/17/20314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zlib.com/htm/img/17/20314/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Так как с/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bscript"/>
          <w:lang w:eastAsia="ru-RU"/>
        </w:rPr>
        <w:t>||р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&lt;С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,,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bscript"/>
          <w:lang w:eastAsia="ru-RU"/>
        </w:rPr>
        <w:t>р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proofErr w:type="spellEnd"/>
      <w:proofErr w:type="gram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&lt;С</w:t>
      </w:r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,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то </w:t>
      </w:r>
      <w:proofErr w:type="spellStart"/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np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Q</w:t>
      </w:r>
      <w:r w:rsidRPr="00E70718">
        <w:rPr>
          <w:rFonts w:ascii="Arial" w:eastAsia="Times New Roman" w:hAnsi="Arial" w:cs="Arial"/>
          <w:i/>
          <w:iCs/>
          <w:color w:val="373D3F"/>
          <w:sz w:val="20"/>
          <w:szCs w:val="20"/>
          <w:vertAlign w:val="subscript"/>
          <w:lang w:eastAsia="ru-RU"/>
        </w:rPr>
        <w:t>K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обычно принимают равными общей массе пробы и концентрата соответственно. Если степень извлечения равна 1 (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R —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100%), формула упрощается:</w:t>
      </w:r>
    </w:p>
    <w:p w:rsidR="00E70718" w:rsidRPr="00E70718" w:rsidRDefault="00E70718" w:rsidP="00E7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7715" cy="500380"/>
            <wp:effectExtent l="0" t="0" r="0" b="0"/>
            <wp:docPr id="4" name="Рисунок 4" descr="https://ozlib.com/htm/img/17/20314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lib.com/htm/img/17/20314/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Коэффициент концентрирования учитывают при построении </w:t>
      </w:r>
      <w:proofErr w:type="spell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градуировочных</w:t>
      </w:r>
      <w:proofErr w:type="spell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графиков, выражающих зависимость аналитического сигнала от массы или концентрации микрокомпонентов. Поправку на коэффициент концентрирования вносят также при проведении количественного анализа другими методами, например при использовании метода добавок.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Выбор коэффициента концентрирования зависит от содержания микрокомпонента в пробе и применяемого метода анализа. Иногда (особенно при анализе следов) требуется достижение коэффициента концентрирования &gt; 10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perscript"/>
          <w:lang w:eastAsia="ru-RU"/>
        </w:rPr>
        <w:t>5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, однако в большинстве анализов достаточным оказывается AT = 10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perscript"/>
          <w:lang w:eastAsia="ru-RU"/>
        </w:rPr>
        <w:t>2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ч-10</w:t>
      </w:r>
      <w:r w:rsidRPr="00E70718">
        <w:rPr>
          <w:rFonts w:ascii="Arial" w:eastAsia="Times New Roman" w:hAnsi="Arial" w:cs="Arial"/>
          <w:color w:val="373D3F"/>
          <w:sz w:val="20"/>
          <w:szCs w:val="20"/>
          <w:vertAlign w:val="superscript"/>
          <w:lang w:eastAsia="ru-RU"/>
        </w:rPr>
        <w:t>4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, так как современные методы определения микрокомпонентов обладают высокой чувствительностью и хорошей селективностью. Применение многостадийного разделения позволяет 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lastRenderedPageBreak/>
        <w:t>повысить коэффициент концентрирования микрокомпонентов без заметных потерь.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При высоких степенях абсолютного концентрирования массу концентрата трудно измерить с необходимой точностью. В этом случае концентрацию микрокомпонента в пробе (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х</w:t>
      </w:r>
      <w:proofErr w:type="gram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,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%)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</w:t>
      </w:r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рассчитывают по формуле: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1664970" cy="577850"/>
            <wp:effectExtent l="0" t="0" r="0" b="0"/>
            <wp:docPr id="3" name="Рисунок 3" descr="https://ozlib.com/htm/img/17/20314/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zlib.com/htm/img/17/20314/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г. е. концентрация микрокомпонента в пробе равна отношению количеств микрокомпонента и макрокомпонента в пробе, выраженному в процентах: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2648585" cy="638175"/>
            <wp:effectExtent l="0" t="0" r="0" b="9525"/>
            <wp:docPr id="2" name="Рисунок 2" descr="https://ozlib.com/htm/img/17/20314/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zlib.com/htm/img/17/20314/4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Коэффициент разделения S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есть величина, обратная коэффициенту концентрирования:</w:t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73D3F"/>
          <w:sz w:val="27"/>
          <w:szCs w:val="27"/>
          <w:lang w:eastAsia="ru-RU"/>
        </w:rPr>
        <w:drawing>
          <wp:inline distT="0" distB="0" distL="0" distR="0">
            <wp:extent cx="2820670" cy="629920"/>
            <wp:effectExtent l="0" t="0" r="0" b="0"/>
            <wp:docPr id="1" name="Рисунок 1" descr="https://ozlib.com/htm/img/17/20314/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zlib.com/htm/img/17/20314/4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18" w:rsidRPr="00E70718" w:rsidRDefault="00E70718" w:rsidP="00E707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Наряду с разделением компонентов и концентрированием микрокомпонентов </w:t>
      </w:r>
      <w:proofErr w:type="gramStart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важное значение</w:t>
      </w:r>
      <w:proofErr w:type="gramEnd"/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имеет </w:t>
      </w:r>
      <w:r w:rsidRPr="00E70718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очистка</w:t>
      </w:r>
      <w:r w:rsidRPr="00E70718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— операция, при которой нужно сохранить основу (макрокомпонент), отбросив примеси.</w:t>
      </w:r>
      <w:bookmarkStart w:id="0" w:name="_GoBack"/>
      <w:bookmarkEnd w:id="0"/>
    </w:p>
    <w:p w:rsidR="00090581" w:rsidRDefault="00F70F37">
      <w:r>
        <w:t>Лекция 9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70F3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Методы разделения, концентрирования и устранения мешающих анализу компонентов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В практике химического анализа часто встречаются ситуации, когда надежному и точному определению компонента мешают другие компоненты, присутствующие в анализируемом образце, в том числе и основные, составляющие матрицу образца. Устранить влияние метающих компонентов можно двумя способами. Первый способ, так называемое </w:t>
      </w: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маскирование,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заключается в переводе мешающего компонента в аналитически неактивную форму. Эту операцию можно провести непосредственно в аналитической системе, причем мешающие компоненты остаются в этой же системе.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lastRenderedPageBreak/>
        <w:t>Этот прием не всегда удается осуществить, особенно при анализе многокомпонентных смесей. В этом случае используют второй способ — разделение компонентов и (или) концентрирование определяемого компонента. Концентрирование определяемого компонента применяется также в том случае, если его содержание в анализируемой системе оказывается ниже предела обнаружения выбранного аналитического метода. Операции разделения и концентрирования часто совмещаются.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Разделение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— это операция (процесс), в результате которой компоненты, составляющие исходную смесь, отделяются один от другого.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Концентрирование —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операция (процесс), в результате которой повышается отношение концентрации или количества микрокомпонента к концентрации или количеству макрокомпонента.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При концентрировании микрокомпоненты либо собираются в меньшем объеме или массе (</w:t>
      </w: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абсолютное концентрирование),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либо отделяются от макрокомпонента таким образом, чтобы отношение концентрации микрокомпонента к концентрации макрокомпонента повышалось (</w:t>
      </w: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относительное концентрирование).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Примером абсолютного концентрирования может служить упаривание пробы при анализе природных вод.</w:t>
      </w:r>
    </w:p>
    <w:p w:rsidR="00F70F37" w:rsidRPr="00F70F37" w:rsidRDefault="00F70F37" w:rsidP="00F70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Различают </w:t>
      </w: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групповое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 и </w:t>
      </w:r>
      <w:r w:rsidRPr="00F70F37">
        <w:rPr>
          <w:rFonts w:ascii="Arial" w:eastAsia="Times New Roman" w:hAnsi="Arial" w:cs="Arial"/>
          <w:i/>
          <w:iCs/>
          <w:color w:val="373D3F"/>
          <w:sz w:val="27"/>
          <w:szCs w:val="27"/>
          <w:lang w:eastAsia="ru-RU"/>
        </w:rPr>
        <w:t>индивидуальное</w:t>
      </w:r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 разделение и концентрирование. При </w:t>
      </w:r>
      <w:proofErr w:type="gramStart"/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>групповом</w:t>
      </w:r>
      <w:proofErr w:type="gramEnd"/>
      <w:r w:rsidRPr="00F70F37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за один прием выделяется несколько компонентов, при индивидуальном — один.</w:t>
      </w:r>
    </w:p>
    <w:p w:rsidR="00F70F37" w:rsidRDefault="00F70F37"/>
    <w:sectPr w:rsidR="00F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4F"/>
    <w:rsid w:val="00090581"/>
    <w:rsid w:val="00E70718"/>
    <w:rsid w:val="00F02B4F"/>
    <w:rsid w:val="00F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707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707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2024-01-20T02:56:00Z</dcterms:created>
  <dcterms:modified xsi:type="dcterms:W3CDTF">2024-01-20T03:31:00Z</dcterms:modified>
</cp:coreProperties>
</file>