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3C" w:rsidRDefault="0097433C" w:rsidP="0097433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Основы аналитической химии и </w:t>
      </w:r>
      <w:proofErr w:type="spellStart"/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фхма</w:t>
      </w:r>
      <w:proofErr w:type="spellEnd"/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гр</w:t>
      </w:r>
      <w:proofErr w:type="spellEnd"/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3такхс 21</w:t>
      </w:r>
    </w:p>
    <w:p w:rsidR="0097433C" w:rsidRDefault="0097433C" w:rsidP="0097433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Лекция №14</w:t>
      </w:r>
    </w:p>
    <w:p w:rsidR="0097433C" w:rsidRDefault="0097433C" w:rsidP="0097433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Задание: составить конспект лекции</w:t>
      </w:r>
      <w:r w:rsidR="00733290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, ответить на вопросы</w:t>
      </w:r>
      <w:bookmarkStart w:id="0" w:name="_GoBack"/>
      <w:bookmarkEnd w:id="0"/>
    </w:p>
    <w:p w:rsidR="0097433C" w:rsidRDefault="0097433C" w:rsidP="0097433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Тема: </w:t>
      </w:r>
      <w:r w:rsidRPr="0097433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Физическая природа света. Излучение и поглощение света. Спектры, спектральный анализ.</w:t>
      </w:r>
    </w:p>
    <w:p w:rsidR="0097433C" w:rsidRPr="0097433C" w:rsidRDefault="0097433C" w:rsidP="0097433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лекция</w:t>
      </w:r>
    </w:p>
    <w:p w:rsidR="0097433C" w:rsidRPr="0097433C" w:rsidRDefault="0097433C" w:rsidP="00974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– поток элементарных частиц – фотонов, т.е. квантов электромагнитного поля, частоты которых соответствуют видимой части спектра.</w:t>
      </w:r>
    </w:p>
    <w:p w:rsidR="0097433C" w:rsidRPr="0097433C" w:rsidRDefault="0097433C" w:rsidP="00974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– электромагнитная волна, подчиняющаяся классической (</w:t>
      </w:r>
      <w:proofErr w:type="spellStart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неквантовой</w:t>
      </w:r>
      <w:proofErr w:type="spellEnd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теории электромагнетизма Максвелла.</w:t>
      </w:r>
    </w:p>
    <w:p w:rsidR="0097433C" w:rsidRPr="0097433C" w:rsidRDefault="0097433C" w:rsidP="00974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 волны — это поперечные волны (волны сдвига), в которых вектора напряжённостей электрического и магнитного полей колеблются перпендикулярно направлению распространения волны, но они существенно отличаются от волн на воде и от звука тем, что их можно передать от источника к приемнику, в том числе и через вакуум.</w:t>
      </w:r>
    </w:p>
    <w:p w:rsidR="0097433C" w:rsidRPr="0097433C" w:rsidRDefault="0097433C" w:rsidP="00974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Излучение света атомами не происходит непрерывно. Атом – осциллятор, в котором «+» и </w:t>
      </w:r>
      <w:proofErr w:type="gramStart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«–</w:t>
      </w:r>
      <w:proofErr w:type="gramEnd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заряды связаны </w:t>
      </w:r>
      <w:proofErr w:type="spellStart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квазиупругими</w:t>
      </w:r>
      <w:proofErr w:type="spellEnd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силами. За счёт энергии, полученной, например, при соударении с другим атомом, в нём возбуждаются собственные колебания, и он в течение некоторого времени излучает электромагнитную волну.</w:t>
      </w:r>
    </w:p>
    <w:p w:rsidR="0097433C" w:rsidRPr="0097433C" w:rsidRDefault="0097433C" w:rsidP="00974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Электромагнитное излучение – электромагнитные волны, возбуждаемые заряженными частицами, атомами, молекулами, антеннами и пр. В зависимости от длины волны различают гамма-излучение, рентгеновское, ультрафиолетовое излучение, видимый свет, инфракрасное излучение, радиоволны и низкочастотные электромагнитные колебания.</w:t>
      </w:r>
    </w:p>
    <w:p w:rsidR="0097433C" w:rsidRPr="0097433C" w:rsidRDefault="0097433C" w:rsidP="00974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Поглощение света – уменьшение интенсивности оптического излучения (света), проходящего через материальную среду, за счёт процессов его взаимодействия со средой. Световая энергия при поглощении света переходит в различные формы внутренней энергии среды. Она может быть затрачена на возбуждение колебаний электронов.</w:t>
      </w:r>
    </w:p>
    <w:p w:rsidR="0097433C" w:rsidRPr="0097433C" w:rsidRDefault="0097433C" w:rsidP="00974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закон, описывающий поглощение света — закон </w:t>
      </w:r>
      <w:proofErr w:type="spellStart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Бугера</w:t>
      </w:r>
      <w:proofErr w:type="spellEnd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74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I(l) = I</w:t>
      </w:r>
      <w:r w:rsidRPr="00974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974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974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-kl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I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интенсивность входящего пучка, l — толщина слоя вещества, через которое проходит свет, k — показатель поглощения (коэффициент, характеризующий свойства вещества и зависящий от длины волны λ поглощаемого света). Физический смысл закона состоит в том, что показатель поглощения не зависит от I и l, и что поглощенная энергия пропорциональна числу поглощающих частиц на пути световой волны. Коэффициент поглощения существенно зависит от частоты световой волны. Коэффициент поглощения есть величина, обратная толщине слоя, </w:t>
      </w:r>
      <w:proofErr w:type="gramStart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прохождении</w:t>
      </w:r>
      <w:proofErr w:type="gramEnd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интенсивность света убывает в e раз. Величина как поглощенной, так и рассеянной энергии увеличивается с ростом амплитуды вынужденных колебаний, поэтому наиболее сильное поглощение наблюдается при резонансе – коэффициент поглощения имеет максимумы на частотах, равных частотам собственных колебаний осцилляторов среды.</w:t>
      </w:r>
    </w:p>
    <w:p w:rsidR="0097433C" w:rsidRPr="0097433C" w:rsidRDefault="0097433C" w:rsidP="00974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 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изолированных атомов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частоты собственных колебаний оптических электронов приходятся на видимую и ультрафиолетовую части спектра и отстоят сравнительно далеко друг от друга, поэтому в разреженных парах металлов, в которых атомы практически не взаимодействуют, зависимость k от частоты имеет вид узких пиков (</w:t>
      </w:r>
      <w:r w:rsidRPr="00974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линии поглощения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вне которых k=0.</w:t>
      </w:r>
      <w:proofErr w:type="gramEnd"/>
    </w:p>
    <w:p w:rsidR="0097433C" w:rsidRPr="0097433C" w:rsidRDefault="0097433C" w:rsidP="00974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газов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состоящих из молекул, вместо узких линий наблюдаются довольно широкие </w:t>
      </w:r>
      <w:r w:rsidRPr="00974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полосы поглощения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пределах которых k существенно </w:t>
      </w:r>
      <w:proofErr w:type="gramStart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отличен</w:t>
      </w:r>
      <w:proofErr w:type="gramEnd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нуля. Полосы поглощения, обусловленные колебаниями ионов, появляются в 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инфракрасной области спектра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повышением давления полосы расширяются; в 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жидкостях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твердых телах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сложный характер.</w:t>
      </w:r>
    </w:p>
    <w:p w:rsidR="0097433C" w:rsidRPr="0097433C" w:rsidRDefault="0097433C" w:rsidP="00974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Спектральный анализ – физический метод качественного и количественного определения атомного и молекулярного состава вещества, основанный на исследовании его спектров. Физическая основа спектрального анализа — спектроскопия атомов и молекул. 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Атомный спектральный анализ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 элементный состав образца по атомным (ионным) спектрам испускания и поглощения, 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молекулярный спектральный анализ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молекулярный состав веществ по молекулярным спектрам поглощения, люминесценции и комбинационного рассеяния света. 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Эмиссионный спектральный анализ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производят по спектрам испускания атомов, ионов и молекул, возбуждённым различными источниками электромагнитного излучения в диапазоне от </w:t>
      </w:r>
      <w:proofErr w:type="gramStart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γ-</w:t>
      </w:r>
      <w:proofErr w:type="gramEnd"/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излучения до микроволнового. 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Абсорбционный спектральный анализ</w:t>
      </w:r>
      <w:r w:rsidRPr="0097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 по спектрам поглощения электромагнитного излучения анализируемыми объектами (атомами, молекулами, ионами вещества, находящегося в различных агрегатных состояниях).</w:t>
      </w:r>
    </w:p>
    <w:tbl>
      <w:tblPr>
        <w:tblpPr w:leftFromText="45" w:rightFromText="45" w:vertAnchor="text"/>
        <w:tblW w:w="792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920"/>
      </w:tblGrid>
      <w:tr w:rsidR="0097433C" w:rsidRPr="0097433C" w:rsidTr="0097433C">
        <w:tc>
          <w:tcPr>
            <w:tcW w:w="0" w:type="auto"/>
            <w:shd w:val="clear" w:color="auto" w:fill="FFFFFF"/>
            <w:vAlign w:val="center"/>
            <w:hideMark/>
          </w:tcPr>
          <w:p w:rsidR="0097433C" w:rsidRPr="0097433C" w:rsidRDefault="0097433C" w:rsidP="0097433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97433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Модель атома Бора позволяет описать процессы излучения и поглощения света атомом. Как это происходит? Как фотон «появляется на свет»? Что меняется в атоме после поглощения фотона?</w:t>
            </w:r>
          </w:p>
        </w:tc>
      </w:tr>
    </w:tbl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Вследствие того что энергия атома квантована, она характеризуется определенным набором энергетических уровней </w:t>
      </w:r>
      <w:proofErr w:type="spellStart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E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eastAsia="ru-RU"/>
        </w:rPr>
        <w:t>n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 Испускание излучения происходит при самопроизвольном переходе атома с высших энергетических уровней </w:t>
      </w:r>
      <w:proofErr w:type="spellStart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E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eastAsia="ru-RU"/>
        </w:rPr>
        <w:t>k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на один из низших энергетических уровней </w:t>
      </w:r>
      <w:proofErr w:type="spellStart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E</w:t>
      </w:r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bscript"/>
          <w:lang w:eastAsia="ru-RU"/>
        </w:rPr>
        <w:t>n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(</w:t>
      </w:r>
      <w:proofErr w:type="spellStart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E</w:t>
      </w:r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bscript"/>
          <w:lang w:eastAsia="ru-RU"/>
        </w:rPr>
        <w:t>k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&gt; </w:t>
      </w:r>
      <w:proofErr w:type="spellStart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E</w:t>
      </w:r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bscript"/>
          <w:lang w:eastAsia="ru-RU"/>
        </w:rPr>
        <w:t>n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)  Атом излучает фотон (квант электромагнитной энергии) с энергией</w:t>
      </w:r>
      <w:proofErr w:type="gramStart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.</w:t>
      </w:r>
      <w:proofErr w:type="gramEnd"/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Частота излучения при этом: </w:t>
      </w:r>
    </w:p>
    <w:tbl>
      <w:tblPr>
        <w:tblW w:w="792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76"/>
        <w:gridCol w:w="4356"/>
        <w:gridCol w:w="1188"/>
      </w:tblGrid>
      <w:tr w:rsidR="0097433C" w:rsidRPr="0097433C" w:rsidTr="0097433C">
        <w:tc>
          <w:tcPr>
            <w:tcW w:w="2376" w:type="dxa"/>
            <w:shd w:val="clear" w:color="auto" w:fill="FFFFFF"/>
            <w:vAlign w:val="center"/>
            <w:hideMark/>
          </w:tcPr>
          <w:p w:rsidR="0097433C" w:rsidRPr="0097433C" w:rsidRDefault="0097433C" w:rsidP="0097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33C" w:rsidRPr="0097433C" w:rsidRDefault="0097433C" w:rsidP="0097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97433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97433C" w:rsidRPr="0097433C" w:rsidRDefault="0097433C" w:rsidP="0097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97433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(1)</w:t>
            </w:r>
          </w:p>
        </w:tc>
      </w:tr>
    </w:tbl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Подчеркнем, что наряду с прямым переходом атом может переходить из возбужденного состояния в основное поэтапно, через промежуточные состояния. При этом излучаются соответствующие промежуточным переходам кванты света. Набор таких частот образует </w:t>
      </w:r>
      <w:r w:rsidRPr="0097433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линейчатый спектр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излучения атома. 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Поглощение света — процесс, обратный испусканию. Атом, поглощая фотон </w:t>
      </w:r>
      <w:proofErr w:type="spellStart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h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ν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eastAsia="ru-RU"/>
        </w:rPr>
        <w:t>kn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= </w:t>
      </w:r>
      <w:proofErr w:type="spellStart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E</w:t>
      </w:r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bscript"/>
          <w:lang w:eastAsia="ru-RU"/>
        </w:rPr>
        <w:t>n</w:t>
      </w:r>
      <w:proofErr w:type="spellEnd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 xml:space="preserve"> - </w:t>
      </w:r>
      <w:proofErr w:type="spellStart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E</w:t>
      </w:r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bscript"/>
          <w:lang w:eastAsia="ru-RU"/>
        </w:rPr>
        <w:t>k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переходит из низшего </w:t>
      </w:r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k 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состояния в более высокое </w:t>
      </w:r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n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(</w:t>
      </w:r>
      <w:proofErr w:type="spellStart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E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eastAsia="ru-RU"/>
        </w:rPr>
        <w:t>k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&lt; </w:t>
      </w:r>
      <w:proofErr w:type="spellStart"/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E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eastAsia="ru-RU"/>
        </w:rPr>
        <w:t>n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) состояние. Частота поглощенного фотона: </w:t>
      </w:r>
    </w:p>
    <w:tbl>
      <w:tblPr>
        <w:tblW w:w="792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76"/>
        <w:gridCol w:w="4356"/>
        <w:gridCol w:w="1188"/>
      </w:tblGrid>
      <w:tr w:rsidR="0097433C" w:rsidRPr="0097433C" w:rsidTr="0097433C">
        <w:tc>
          <w:tcPr>
            <w:tcW w:w="2376" w:type="dxa"/>
            <w:shd w:val="clear" w:color="auto" w:fill="FFFFFF"/>
            <w:vAlign w:val="center"/>
            <w:hideMark/>
          </w:tcPr>
          <w:p w:rsidR="0097433C" w:rsidRPr="0097433C" w:rsidRDefault="0097433C" w:rsidP="0097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33C" w:rsidRPr="0097433C" w:rsidRDefault="0097433C" w:rsidP="0097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97433C">
              <w:rPr>
                <w:rFonts w:ascii="Times New Roman" w:eastAsia="Times New Roman" w:hAnsi="Times New Roman" w:cs="Times New Roman"/>
                <w:noProof/>
                <w:color w:val="373A3C"/>
                <w:sz w:val="24"/>
                <w:szCs w:val="24"/>
                <w:lang w:eastAsia="ru-RU"/>
              </w:rPr>
              <w:drawing>
                <wp:inline distT="0" distB="0" distL="0" distR="0" wp14:anchorId="7EA0D3E9" wp14:editId="7AEE8182">
                  <wp:extent cx="1129665" cy="537845"/>
                  <wp:effectExtent l="0" t="0" r="0" b="0"/>
                  <wp:docPr id="9" name="Рисунок 9" descr="begin mathsize 20px style nu subscript k n end subscript equals fraction numerator E subscript n minus E subscript k over denominator h end fraction end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mathsize 20px style nu subscript k n end subscript equals fraction numerator E subscript n minus E subscript k over denominator h end fraction end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97433C" w:rsidRPr="0097433C" w:rsidRDefault="0097433C" w:rsidP="0097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97433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(2)</w:t>
            </w:r>
          </w:p>
        </w:tc>
      </w:tr>
    </w:tbl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Подобные переходы дают </w:t>
      </w:r>
      <w:r w:rsidRPr="0097433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линейчатый спектр поглощения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атома.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Подчеркнем, что частоты переходов с испусканием и поглощением, происходящие между одними и теми же энергетическими уровнями, совпадают.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Таким образом, спектры атомов позволяют определять изменения энергии атома при испускании или поглощении ими излучения. 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noProof/>
          <w:color w:val="1177D1"/>
          <w:sz w:val="24"/>
          <w:szCs w:val="24"/>
          <w:lang w:eastAsia="ru-RU"/>
        </w:rPr>
        <w:drawing>
          <wp:inline distT="0" distB="0" distL="0" distR="0" wp14:anchorId="2AEB5FC6" wp14:editId="22C5F909">
            <wp:extent cx="5120640" cy="2183765"/>
            <wp:effectExtent l="0" t="0" r="3810" b="6985"/>
            <wp:docPr id="8" name="Рисунок 8" descr="http://profil.adu.by/pluginfile.php/4246/mod_book/chapter/11630/19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il.adu.by/pluginfile.php/4246/mod_book/chapter/11630/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Спектры, полученные от самосветящихся тел, называются </w:t>
      </w:r>
      <w:r w:rsidRPr="0097433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спектрами испускания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 Они бывают трех типов: </w:t>
      </w:r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линейчатые, полосатые и сплошные.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Линейчатые спектры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имеют все вещества в газообразном атомарном состоянии. Обычно (например, при нормальных условиях) атомы газа находятся в основном состоянии и не излучают света. Если такой газ нагревается, некоторые атомы переходят на более высокие энергетические уровни. Именно эти атомы при переходе в более низкие энергетические состояния и испускают фотоны. В результате атомарные спектры состоят из отдельных узких линий различного цвета, разделенных темными промежутками (рис. 199). 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Изучение линейчатых спектров показало, что каждый химический элемент обладает своим строго индивидуальным спектром. Такие спектры отличаются друг от друга цветом отдельных светящихся линий, их положением и числом.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Полосатые спектры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имеют газы, состоящие из молекул. Для объяснения молекулярных спектров необходимо принимать во внимание большую сложность структуры молекул. В молекулах, кроме движения электронов, происходят колебательное движение ядер около положения равновесия и вращательное движение молекулы как целого. Согласно квантовой механике энергия всех видов движения может принимать только определенные дискретные значения (квантуется). Полная энергия молекулы определяется тремя видами ее внутренних движений. Электронному, колебательному и вращательному движениям молекулы соответствуют три типа уровней энергии: электронные, колебательные и вращательные. При соединении атомов в молекулы каждый атомный уровень превращается в ряд близких уровней, соответствующих колебательным и вращательным движениям. Так как расстояние между этими уровнями очень мало, особенно в случае вращательных уровней (характерное расстояние между уровнями составляет </w:t>
      </w:r>
      <w:r w:rsidRPr="0097433C">
        <w:rPr>
          <w:rFonts w:ascii="Times New Roman" w:eastAsia="Times New Roman" w:hAnsi="Times New Roman" w:cs="Times New Roman"/>
          <w:noProof/>
          <w:color w:val="373A3C"/>
          <w:sz w:val="24"/>
          <w:szCs w:val="24"/>
          <w:lang w:eastAsia="ru-RU"/>
        </w:rPr>
        <w:drawing>
          <wp:inline distT="0" distB="0" distL="0" distR="0" wp14:anchorId="1FEF9A66" wp14:editId="46030383">
            <wp:extent cx="581025" cy="215265"/>
            <wp:effectExtent l="0" t="0" r="9525" b="0"/>
            <wp:docPr id="7" name="Рисунок 7" descr="tilde space 10 to the power of negative 3 end exponent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lde space 10 to the power of negative 3 end exponent sp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эВ), то в результате переходов между этими уровнями возникает множество очень близких спектральных линий. 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В таких спектрах в отличие от атомных спектров совокупность тесно расположенных спектральных линий образуют полосы, разделенные темными промежутками (рис. 200). Спектры молекул можно использовать для идентификации молекул и их структуры.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noProof/>
          <w:color w:val="1177D1"/>
          <w:sz w:val="24"/>
          <w:szCs w:val="24"/>
          <w:lang w:eastAsia="ru-RU"/>
        </w:rPr>
        <w:drawing>
          <wp:inline distT="0" distB="0" distL="0" distR="0" wp14:anchorId="7CAA84DD" wp14:editId="34B80F0B">
            <wp:extent cx="5120640" cy="1721485"/>
            <wp:effectExtent l="0" t="0" r="3810" b="0"/>
            <wp:docPr id="6" name="Рисунок 6" descr="http://profil.adu.by/pluginfile.php/4246/mod_book/chapter/11630/2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il.adu.by/pluginfile.php/4246/mod_book/chapter/11630/2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Непрерывные (сплошные) спектры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имеют нагретые тела, находящиеся в твердом и жидком состоянии, а также газы при высоком давлении и плазма. Вследствие интенсивного взаимодействия между молекулами индивидуальные черты, присущие отдельным частицам, в таких спектрах неразличимы. В них представлены все длины волн, нет темных промежутков и на экране видна сплошная разноцветная полоса (рис. 201).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Прозрачные вещества поглощают часть падающего на них излучения, и в спектре, полученном после прохождения белого света через такие вещества, появляются темные линии, или полосы поглощения. Такой спектр называется спектром поглощения (рис. 202).</w:t>
      </w:r>
    </w:p>
    <w:tbl>
      <w:tblPr>
        <w:tblW w:w="1659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70"/>
        <w:gridCol w:w="8220"/>
      </w:tblGrid>
      <w:tr w:rsidR="0097433C" w:rsidRPr="0097433C" w:rsidTr="0097433C">
        <w:tc>
          <w:tcPr>
            <w:tcW w:w="8370" w:type="dxa"/>
            <w:shd w:val="clear" w:color="auto" w:fill="FFFFFF"/>
            <w:vAlign w:val="center"/>
            <w:hideMark/>
          </w:tcPr>
          <w:p w:rsidR="0097433C" w:rsidRPr="0097433C" w:rsidRDefault="0097433C" w:rsidP="0097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97433C"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ru-RU"/>
              </w:rPr>
              <w:drawing>
                <wp:inline distT="0" distB="0" distL="0" distR="0" wp14:anchorId="64581BC2" wp14:editId="232DBC24">
                  <wp:extent cx="5120640" cy="1075764"/>
                  <wp:effectExtent l="0" t="0" r="3810" b="0"/>
                  <wp:docPr id="5" name="Рисунок 5" descr="http://profil.adu.by/pluginfile.php/4246/mod_book/chapter/11630/20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fil.adu.by/pluginfile.php/4246/mod_book/chapter/11630/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0" cy="107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33C" w:rsidRDefault="0097433C" w:rsidP="009743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ru-RU"/>
              </w:rPr>
            </w:pPr>
          </w:p>
          <w:p w:rsidR="0097433C" w:rsidRPr="0097433C" w:rsidRDefault="0097433C" w:rsidP="0097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</w:p>
        </w:tc>
      </w:tr>
    </w:tbl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Так, вещество в газообразном состоянии поглощает наиболее сильно свет тех длин волн, которые оно испускает в  нагретом состоянии.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Это означает, что темные линии в спектре поглощения будут находиться как раз в тех местах, где находятся светящиеся линии в спектре испускания данного химического элемента. Эти строго установленные закономерности в линейчатых спектрах дают возможность обнаружить те или иные элементы в данном веществе.</w:t>
      </w:r>
    </w:p>
    <w:p w:rsidR="0097433C" w:rsidRPr="0097433C" w:rsidRDefault="0097433C" w:rsidP="009743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Для определения качественного и количественного состава вещества применяется метод, основанный на получении и исследовании его спектров. Этот метод называется </w:t>
      </w:r>
      <w:r w:rsidRPr="0097433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спектральным анализом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 Это самый быстрый и простой способ определения состава различных химических соединений.</w:t>
      </w:r>
    </w:p>
    <w:p w:rsidR="0097433C" w:rsidRPr="0097433C" w:rsidRDefault="0097433C" w:rsidP="0097433C">
      <w:pPr>
        <w:shd w:val="clear" w:color="auto" w:fill="FFFFE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  Спектр поглощения атома водорода при нормальных условиях содержит только одну серию линий, частоты которых находятся в ультрафиолетовой области.</w:t>
      </w:r>
    </w:p>
    <w:p w:rsidR="0097433C" w:rsidRPr="0097433C" w:rsidRDefault="0097433C" w:rsidP="0097433C">
      <w:pPr>
        <w:shd w:val="clear" w:color="auto" w:fill="FFFFE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Наиболее изученным спектром поглощения является спектр Солнца. Его сплошной спектр содержит значительное количество черных линий. Эти линии являются линиями поглощения, возникающими при прохождении света через газовую оболочку Солнца и 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атмосферу Земли. Они получили название фраунгоферовых линий, так как Фраунгофер впервые наблюдал спектр Солнца и установил, что закономерность их расположения не случайна и линии поглощения (темные линии) появляются всегда только на определенных местах. </w:t>
      </w:r>
    </w:p>
    <w:p w:rsidR="0097433C" w:rsidRPr="0097433C" w:rsidRDefault="0097433C" w:rsidP="0097433C">
      <w:pPr>
        <w:shd w:val="clear" w:color="auto" w:fill="FFFFE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Основатели спектрального анализа немецкие физики Роберт Бунзен и Густав Кирхгоф, исследуя спектры паров соединений щелочных металлов лития, натрия и калия, обнаружили новые элементы — рубидий и цезий, названные так по цвету наиболее ярких линий в их спектрах. У рубидия — красная линия, у цезия — синяя.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Спектральный анализ базируется на двух основных положениях: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1) каждый химический элемент или химическое соединение характеризуется определенным спектром;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2) интенсивность линий и полос в спектре зависит от концентрации того или иного элемента в веществе. 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</w:p>
    <w:p w:rsidR="0097433C" w:rsidRPr="0097433C" w:rsidRDefault="0097433C" w:rsidP="0097433C">
      <w:pPr>
        <w:shd w:val="clear" w:color="auto" w:fill="FFFFE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gramStart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К достоинствам спектрального анализа исследования можно отнести: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- высокую чувствительность (обнаруживает элементы с относительной концентрацией </w:t>
      </w:r>
      <w:r w:rsidRPr="0097433C">
        <w:rPr>
          <w:rFonts w:ascii="Times New Roman" w:eastAsia="Times New Roman" w:hAnsi="Times New Roman" w:cs="Times New Roman"/>
          <w:noProof/>
          <w:color w:val="373A3C"/>
          <w:sz w:val="24"/>
          <w:szCs w:val="24"/>
          <w:lang w:eastAsia="ru-RU"/>
        </w:rPr>
        <w:drawing>
          <wp:inline distT="0" distB="0" distL="0" distR="0" wp14:anchorId="2B8FB067" wp14:editId="426F2241">
            <wp:extent cx="892810" cy="215265"/>
            <wp:effectExtent l="0" t="0" r="2540" b="0"/>
            <wp:docPr id="3" name="Рисунок 3" descr="10 to the power of negative 7 end exponent space minus space 10 to the power of negative 8 end expon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to the power of negative 7 end exponent space minus space 10 to the power of negative 8 end expon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, т. е. один атом вещества на сто миллионов других атомов);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- малое время измерения;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- малые количества исследуемого вещества (достаточно </w:t>
      </w:r>
      <w:r w:rsidRPr="0097433C">
        <w:rPr>
          <w:rFonts w:ascii="Times New Roman" w:eastAsia="Times New Roman" w:hAnsi="Times New Roman" w:cs="Times New Roman"/>
          <w:noProof/>
          <w:color w:val="373A3C"/>
          <w:sz w:val="24"/>
          <w:szCs w:val="24"/>
          <w:lang w:eastAsia="ru-RU"/>
        </w:rPr>
        <w:drawing>
          <wp:inline distT="0" distB="0" distL="0" distR="0" wp14:anchorId="3C81F25A" wp14:editId="603B3F42">
            <wp:extent cx="935990" cy="215265"/>
            <wp:effectExtent l="0" t="0" r="0" b="0"/>
            <wp:docPr id="2" name="Рисунок 2" descr="10 to the power of negative 2 end exponent space minus space 10 to the power of negative 3 end exponent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to the power of negative 2 end exponent space minus space 10 to the power of negative 3 end exponent spa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г и даже до </w:t>
      </w:r>
      <w:r w:rsidRPr="0097433C">
        <w:rPr>
          <w:rFonts w:ascii="Times New Roman" w:eastAsia="Times New Roman" w:hAnsi="Times New Roman" w:cs="Times New Roman"/>
          <w:noProof/>
          <w:color w:val="373A3C"/>
          <w:sz w:val="24"/>
          <w:szCs w:val="24"/>
          <w:lang w:eastAsia="ru-RU"/>
        </w:rPr>
        <w:drawing>
          <wp:inline distT="0" distB="0" distL="0" distR="0" wp14:anchorId="5BF6BBA3" wp14:editId="2389554D">
            <wp:extent cx="935990" cy="215265"/>
            <wp:effectExtent l="0" t="0" r="0" b="0"/>
            <wp:docPr id="1" name="Рисунок 1" descr="10 to the power of negative 5 end exponent space minus space 10 to the power of negative 6 end exponent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 to the power of negative 5 end exponent space minus space 10 to the power of negative 6 end exponent spa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г) вплоть до возможности детектирования отдельных молекул;</w:t>
      </w: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 xml:space="preserve">- </w:t>
      </w:r>
      <w:proofErr w:type="spellStart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дистанционность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измерений (можно проводить исследования, например, состава атмосферы далеких планет).</w:t>
      </w:r>
      <w:proofErr w:type="gramEnd"/>
    </w:p>
    <w:p w:rsidR="0097433C" w:rsidRPr="0097433C" w:rsidRDefault="0097433C" w:rsidP="0097433C">
      <w:pPr>
        <w:shd w:val="clear" w:color="auto" w:fill="FFFFE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По спектрам определяют, из каких химических элементов состоит вещество и в каких количествах.</w:t>
      </w:r>
    </w:p>
    <w:p w:rsidR="0097433C" w:rsidRPr="0097433C" w:rsidRDefault="0097433C" w:rsidP="0097433C">
      <w:pPr>
        <w:shd w:val="clear" w:color="auto" w:fill="FFFFE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Белорусский физик академик Михаил Александрович </w:t>
      </w:r>
      <w:proofErr w:type="spellStart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Ельяшевич</w:t>
      </w:r>
      <w:proofErr w:type="spellEnd"/>
      <w:r w:rsidRPr="0097433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разработал основы теории колебаний многоатомных молекул и их колебательных спектров. Он внес значительный вклад в теорию спектров редкоземельных элементов и низкотемпературной плазмы.</w:t>
      </w:r>
    </w:p>
    <w:p w:rsidR="00733290" w:rsidRPr="00733290" w:rsidRDefault="00733290" w:rsidP="007332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733290">
        <w:rPr>
          <w:rFonts w:ascii="Times New Roman" w:eastAsia="Times New Roman" w:hAnsi="Times New Roman" w:cs="Times New Roman"/>
          <w:color w:val="373A3C"/>
          <w:sz w:val="48"/>
          <w:szCs w:val="48"/>
          <w:lang w:eastAsia="ru-RU"/>
        </w:rPr>
        <w:t>Что называют спектром? Какие виды спектров вы знаете?</w:t>
      </w:r>
    </w:p>
    <w:p w:rsidR="00733290" w:rsidRPr="00733290" w:rsidRDefault="00733290" w:rsidP="007332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733290">
        <w:rPr>
          <w:rFonts w:ascii="Times New Roman" w:eastAsia="Times New Roman" w:hAnsi="Times New Roman" w:cs="Times New Roman"/>
          <w:color w:val="373A3C"/>
          <w:sz w:val="48"/>
          <w:szCs w:val="48"/>
          <w:lang w:eastAsia="ru-RU"/>
        </w:rPr>
        <w:t>Какие виды спектров излучения вы знаете?</w:t>
      </w:r>
    </w:p>
    <w:p w:rsidR="00733290" w:rsidRPr="00733290" w:rsidRDefault="00733290" w:rsidP="007332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733290">
        <w:rPr>
          <w:rFonts w:ascii="Times New Roman" w:eastAsia="Times New Roman" w:hAnsi="Times New Roman" w:cs="Times New Roman"/>
          <w:color w:val="373A3C"/>
          <w:sz w:val="48"/>
          <w:szCs w:val="48"/>
          <w:lang w:eastAsia="ru-RU"/>
        </w:rPr>
        <w:t>Что называют спектром поглощения?</w:t>
      </w:r>
    </w:p>
    <w:p w:rsidR="00733290" w:rsidRPr="00733290" w:rsidRDefault="00733290" w:rsidP="007332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733290">
        <w:rPr>
          <w:rFonts w:ascii="Times New Roman" w:eastAsia="Times New Roman" w:hAnsi="Times New Roman" w:cs="Times New Roman"/>
          <w:color w:val="373A3C"/>
          <w:sz w:val="48"/>
          <w:szCs w:val="48"/>
          <w:lang w:eastAsia="ru-RU"/>
        </w:rPr>
        <w:t>Что называют спектральным анализом? На чем основан спектральный анализ?</w:t>
      </w:r>
    </w:p>
    <w:p w:rsidR="00231D47" w:rsidRPr="0097433C" w:rsidRDefault="00231D47">
      <w:pPr>
        <w:rPr>
          <w:rFonts w:ascii="Times New Roman" w:hAnsi="Times New Roman" w:cs="Times New Roman"/>
          <w:sz w:val="24"/>
          <w:szCs w:val="24"/>
        </w:rPr>
      </w:pPr>
    </w:p>
    <w:sectPr w:rsidR="00231D47" w:rsidRPr="0097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E00"/>
    <w:multiLevelType w:val="multilevel"/>
    <w:tmpl w:val="4592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B9"/>
    <w:rsid w:val="00231D47"/>
    <w:rsid w:val="00733290"/>
    <w:rsid w:val="0097433C"/>
    <w:rsid w:val="00E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433C"/>
    <w:rPr>
      <w:i/>
      <w:iCs/>
    </w:rPr>
  </w:style>
  <w:style w:type="character" w:styleId="a5">
    <w:name w:val="Strong"/>
    <w:basedOn w:val="a0"/>
    <w:uiPriority w:val="22"/>
    <w:qFormat/>
    <w:rsid w:val="009743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433C"/>
    <w:rPr>
      <w:i/>
      <w:iCs/>
    </w:rPr>
  </w:style>
  <w:style w:type="character" w:styleId="a5">
    <w:name w:val="Strong"/>
    <w:basedOn w:val="a0"/>
    <w:uiPriority w:val="22"/>
    <w:qFormat/>
    <w:rsid w:val="009743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7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ofil.adu.by/pluginfile.php/4246/mod_book/chapter/11630/199.jpg?time=1628242293511" TargetMode="External"/><Relationship Id="rId12" Type="http://schemas.openxmlformats.org/officeDocument/2006/relationships/hyperlink" Target="http://profil.adu.by/pluginfile.php/4246/mod_book/chapter/11630/201.jpg?time=16282425222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profil.adu.by/pluginfile.php/4246/mod_book/chapter/11630/200.jpg?time=162824246344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2024-01-26T14:11:00Z</dcterms:created>
  <dcterms:modified xsi:type="dcterms:W3CDTF">2024-01-26T14:26:00Z</dcterms:modified>
</cp:coreProperties>
</file>