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01" w:rsidRDefault="00440801" w:rsidP="0044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</w:pPr>
      <w:r w:rsidRPr="00440801"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 xml:space="preserve">Основы  АХ ХФМА </w:t>
      </w:r>
      <w:proofErr w:type="spellStart"/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>гр</w:t>
      </w:r>
      <w:proofErr w:type="spellEnd"/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>такхс</w:t>
      </w:r>
      <w:proofErr w:type="spellEnd"/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 xml:space="preserve"> -21</w:t>
      </w:r>
    </w:p>
    <w:p w:rsidR="00440801" w:rsidRDefault="00440801" w:rsidP="0044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>Задание:  Конспект лекции</w:t>
      </w:r>
    </w:p>
    <w:p w:rsidR="00440801" w:rsidRDefault="00440801" w:rsidP="0044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D9831F"/>
          <w:sz w:val="24"/>
          <w:szCs w:val="24"/>
          <w:lang w:eastAsia="ru-RU"/>
        </w:rPr>
      </w:pPr>
      <w:r w:rsidRPr="00440801">
        <w:rPr>
          <w:rFonts w:ascii="Times New Roman" w:eastAsia="Times New Roman" w:hAnsi="Times New Roman" w:cs="Times New Roman"/>
          <w:color w:val="D9831F"/>
          <w:sz w:val="28"/>
          <w:szCs w:val="28"/>
          <w:lang w:eastAsia="ru-RU"/>
        </w:rPr>
        <w:t>Тема: Определение ионов меди(II) в водном растворе спектрофотометрическим методом</w:t>
      </w:r>
      <w:r w:rsidRPr="00440801">
        <w:rPr>
          <w:rFonts w:ascii="Times New Roman" w:eastAsia="Times New Roman" w:hAnsi="Times New Roman" w:cs="Times New Roman"/>
          <w:color w:val="D9831F"/>
          <w:sz w:val="24"/>
          <w:szCs w:val="24"/>
          <w:lang w:eastAsia="ru-RU"/>
        </w:rPr>
        <w:t>.</w:t>
      </w:r>
    </w:p>
    <w:p w:rsidR="00440801" w:rsidRPr="00440801" w:rsidRDefault="00440801" w:rsidP="00440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44080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екция</w:t>
      </w:r>
    </w:p>
    <w:p w:rsidR="00440801" w:rsidRPr="00440801" w:rsidRDefault="00440801" w:rsidP="0044080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080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40801" w:rsidRDefault="00440801" w:rsidP="0044080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40801" w:rsidRDefault="00440801" w:rsidP="0044080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40801" w:rsidRDefault="00440801" w:rsidP="0044080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40801" w:rsidRDefault="00440801" w:rsidP="0044080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440801" w:rsidRPr="00440801" w:rsidRDefault="00440801" w:rsidP="00440801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4080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40801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Сущность метода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 практической части представлена методика определения ионов меди в виде аммиаката в водном растворе спектрофотометрическим методом.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Метод  измерения основан на взаимодейств</w:t>
      </w:r>
      <w:proofErr w:type="gram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ии ио</w:t>
      </w:r>
      <w:proofErr w:type="gram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нов меди (II) с аммиаком с образованием прочного окрашенного в синий цвет комплексного соединения. Интенсивность окраски пропорциональна концентрац</w:t>
      </w:r>
      <w:proofErr w:type="gram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ии ио</w:t>
      </w:r>
      <w:proofErr w:type="gram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нов </w:t>
      </w:r>
      <w:r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Химизм процесса представлен на рисунке 5.</w:t>
      </w:r>
    </w:p>
    <w:p w:rsidR="00440801" w:rsidRPr="00440801" w:rsidRDefault="00440801" w:rsidP="004408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2247900" cy="485775"/>
            <wp:effectExtent l="0" t="0" r="0" b="9525"/>
            <wp:docPr id="5" name="Рисунок 5" descr="Уравнение реакции взаимодействия ионов меди с аммиа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равнение реакции взаимодействия ионов меди с аммиако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Рисунок 5 – Уравнение реакции взаимодействия ионов меди (II) с аммиаком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40801">
        <w:rPr>
          <w:rFonts w:ascii="Arial" w:eastAsia="Times New Roman" w:hAnsi="Arial" w:cs="Arial"/>
          <w:color w:val="212529"/>
          <w:sz w:val="27"/>
          <w:szCs w:val="27"/>
          <w:lang w:eastAsia="ru-RU"/>
        </w:rPr>
        <w:t xml:space="preserve"> Средства измерений, вспомогательные устройства, материалы, реактивы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 работе были использованы следующие аппаратура, реактивы и материалы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спектрофотометр Specol-1300;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весы аналитические лабораторные;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кюветы с толщиной поглощающего слоя 10 мм;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колбы мерные, вместимостью 50, 200 см3;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proofErr w:type="gram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пипетки</w:t>
      </w:r>
      <w:proofErr w:type="gram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градуированные вместимостью 10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аммиак водный 5%-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ный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раствор;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сульфат меди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пятиводный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(сухая соль);</w:t>
      </w:r>
    </w:p>
    <w:p w:rsidR="00440801" w:rsidRPr="00440801" w:rsidRDefault="00440801" w:rsidP="0044080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вода дистиллированная.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40801">
        <w:rPr>
          <w:rFonts w:ascii="Arial" w:eastAsia="Times New Roman" w:hAnsi="Arial" w:cs="Arial"/>
          <w:color w:val="212529"/>
          <w:sz w:val="27"/>
          <w:szCs w:val="27"/>
          <w:lang w:eastAsia="ru-RU"/>
        </w:rPr>
        <w:t>2.3 Приготовление растворов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Приготовление стандартного раствора сульфата меди (II). Навеску CuSO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bscript"/>
          <w:lang w:eastAsia="ru-RU"/>
        </w:rPr>
        <w:t>4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× 5H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bscript"/>
          <w:lang w:eastAsia="ru-RU"/>
        </w:rPr>
        <w:t>2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O, массой 0,7863 г количественно переносят в мерную колбу, вместимостью 200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, растворяют в дистиллированной воде, доводят этой водой до метки, перемешивают. В 1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раствора содержится 1,000 мг меди.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Приготовление 5%-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ного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раствора аммиака. 100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NH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bscript"/>
          <w:lang w:eastAsia="ru-RU"/>
        </w:rPr>
        <w:t>4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OH концентрированного приливают к 400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дистиллированной воды и перемешивают.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ru-RU"/>
        </w:rPr>
      </w:pPr>
      <w:r w:rsidRPr="00440801">
        <w:rPr>
          <w:rFonts w:ascii="Arial" w:eastAsia="Times New Roman" w:hAnsi="Arial" w:cs="Arial"/>
          <w:color w:val="212529"/>
          <w:sz w:val="27"/>
          <w:szCs w:val="27"/>
          <w:lang w:eastAsia="ru-RU"/>
        </w:rPr>
        <w:lastRenderedPageBreak/>
        <w:t>2.4 Выполнение работы</w:t>
      </w:r>
      <w:bookmarkStart w:id="0" w:name="_GoBack"/>
      <w:bookmarkEnd w:id="0"/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Определение длины волны максимального поглощения света раствором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тетрааммиаката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меди. В мерную колбу отбирают 5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стандартного раствора сульфата меди, добавляют 6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 раствора аммиака, доводят до метки дистиллированной водой и перемешивают. По результатам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фотометрирования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полученного раствора (Таблица 2) строят спектр поглощения (Рисунок 6). Выбирают длину волны, соответствующую максимуму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светопоглощения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Таблица 2 – Зависимость оптической плотности от длины волны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1275"/>
        <w:gridCol w:w="1055"/>
        <w:gridCol w:w="1055"/>
        <w:gridCol w:w="1056"/>
        <w:gridCol w:w="1056"/>
        <w:gridCol w:w="1056"/>
        <w:gridCol w:w="1056"/>
        <w:gridCol w:w="1056"/>
        <w:gridCol w:w="1056"/>
        <w:gridCol w:w="1056"/>
        <w:gridCol w:w="1056"/>
      </w:tblGrid>
      <w:tr w:rsidR="00440801" w:rsidRPr="00440801" w:rsidTr="00440801">
        <w:tc>
          <w:tcPr>
            <w:tcW w:w="9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λ, </w:t>
            </w:r>
            <w:proofErr w:type="spell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2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</w:tr>
      <w:tr w:rsidR="00440801" w:rsidRPr="00440801" w:rsidTr="00440801">
        <w:tc>
          <w:tcPr>
            <w:tcW w:w="96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</w:t>
            </w:r>
          </w:p>
        </w:tc>
        <w:tc>
          <w:tcPr>
            <w:tcW w:w="121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0,069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0,141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0,167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0,162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0,151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0,118</w:t>
            </w:r>
          </w:p>
        </w:tc>
        <w:tc>
          <w:tcPr>
            <w:tcW w:w="10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0,101</w:t>
            </w:r>
          </w:p>
        </w:tc>
      </w:tr>
    </w:tbl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</w:t>
      </w:r>
    </w:p>
    <w:p w:rsidR="00440801" w:rsidRPr="00440801" w:rsidRDefault="00440801" w:rsidP="004408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5238750" cy="3181350"/>
            <wp:effectExtent l="0" t="0" r="0" b="0"/>
            <wp:docPr id="4" name="Рисунок 4" descr="Спектр погло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пектр погло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Рисунок 6 – Спектр поглощения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Длина волны для выполнения измерений – 630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нм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Получение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градуировочной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зависимости. Из стандартного раствора сульфата меди готовят серию растворов для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градуирования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. Для этого в семь мерных колб вместимостью 50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пипеткой отбирают: 0,5; 1; 2; 2,5; 5; 7,5; 10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стандартного раствора, содержащего 1 мг/см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меди (II).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 каждую колбу добавляют по 6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5%-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ного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раствора аммиака, доводят до метки дистиллированной водой и перемешивают.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lastRenderedPageBreak/>
        <w:t>Выполняют измерения оптической плотности растворов через пять минут при выбранной длине волны, комплексные соединения остаются стабильными в течени</w:t>
      </w:r>
      <w:proofErr w:type="gram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и</w:t>
      </w:r>
      <w:proofErr w:type="gram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15 минут.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Результаты измерений серии стандартных растворов представлены в таблице 3.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Таблица 3 – Результаты измерений серии стандартных растворов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1"/>
        <w:gridCol w:w="5544"/>
        <w:gridCol w:w="5735"/>
      </w:tblGrid>
      <w:tr w:rsidR="00440801" w:rsidRPr="00440801" w:rsidTr="00440801">
        <w:tc>
          <w:tcPr>
            <w:tcW w:w="147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СuSO</w:t>
            </w:r>
            <w:r w:rsidRPr="00440801">
              <w:rPr>
                <w:rFonts w:ascii="Times New Roman" w:eastAsia="Times New Roman" w:hAnsi="Times New Roman" w:cs="Times New Roman"/>
                <w:sz w:val="18"/>
                <w:szCs w:val="18"/>
                <w:vertAlign w:val="subscript"/>
                <w:lang w:eastAsia="ru-RU"/>
              </w:rPr>
              <w:t>4</w:t>
            </w: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см</w:t>
            </w:r>
            <w:r w:rsidRPr="0044080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10620" w:type="dxa"/>
            <w:gridSpan w:val="2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440801" w:rsidRPr="00440801" w:rsidTr="00440801"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440801" w:rsidRPr="00440801" w:rsidRDefault="00440801" w:rsidP="0044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параллель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параллель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0,032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0,031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0,041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0,085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0,127</w:t>
            </w:r>
          </w:p>
        </w:tc>
      </w:tr>
      <w:tr w:rsidR="00440801" w:rsidRPr="00440801" w:rsidTr="00440801">
        <w:tc>
          <w:tcPr>
            <w:tcW w:w="147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522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0,166</w:t>
            </w:r>
          </w:p>
        </w:tc>
        <w:tc>
          <w:tcPr>
            <w:tcW w:w="540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0,168</w:t>
            </w:r>
          </w:p>
        </w:tc>
      </w:tr>
    </w:tbl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Получают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градуировочную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зависимость (Рисунок 7)</w:t>
      </w:r>
    </w:p>
    <w:p w:rsidR="00440801" w:rsidRPr="00440801" w:rsidRDefault="00440801" w:rsidP="00440801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4800600" cy="2990850"/>
            <wp:effectExtent l="0" t="0" r="0" b="0"/>
            <wp:docPr id="3" name="Рисунок 3" descr="Градуировочный граф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дуировочный графи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Рисунок 7 -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Градуировочный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 график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lastRenderedPageBreak/>
        <w:t>С помощью программного обеспечения «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Excel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» определяют уравнение линейной зависимости (Формула 6).</w:t>
      </w:r>
    </w:p>
    <w:p w:rsidR="00440801" w:rsidRPr="00440801" w:rsidRDefault="00440801" w:rsidP="00440801">
      <w:pPr>
        <w:shd w:val="clear" w:color="auto" w:fill="FFFFFF"/>
        <w:spacing w:after="100" w:line="240" w:lineRule="auto"/>
        <w:rPr>
          <w:rFonts w:ascii="Segoe UI" w:eastAsia="Times New Roman" w:hAnsi="Segoe UI" w:cs="Segoe UI"/>
          <w:i/>
          <w:iCs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i/>
          <w:iCs/>
          <w:color w:val="212529"/>
          <w:sz w:val="26"/>
          <w:szCs w:val="26"/>
          <w:lang w:eastAsia="ru-RU"/>
        </w:rPr>
        <w:t>x=  y/0,8396                                                                   (6)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где y - оптическая плотность исследуемого раствора;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x - массовая концентрация железа в исследуемом растворе.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Выполнение измерений. Аликвотную часть контрольной пробы, отбирают в колбу вместимостью 50 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 xml:space="preserve">, комплексные соединения формируют так же, проводят измерения оптической плотности при длине волны 630 </w:t>
      </w:r>
      <w:proofErr w:type="spellStart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нм</w:t>
      </w:r>
      <w:proofErr w:type="spellEnd"/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Вычисление результата определений. Вычисляют массовую концентрацию ионов меди в контрольной пробе по формуле 6 для каждого параллельного измерения.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Таблица 4 – Результаты анализа контрольной пробы</w:t>
      </w:r>
    </w:p>
    <w:tbl>
      <w:tblPr>
        <w:tblW w:w="12840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0"/>
        <w:gridCol w:w="5345"/>
        <w:gridCol w:w="5095"/>
      </w:tblGrid>
      <w:tr w:rsidR="00440801" w:rsidRPr="00440801" w:rsidTr="0044080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параллель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параллель</w:t>
            </w:r>
          </w:p>
        </w:tc>
      </w:tr>
      <w:tr w:rsidR="00440801" w:rsidRPr="00440801" w:rsidTr="0044080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0,038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440801" w:rsidRPr="00440801" w:rsidTr="00440801">
        <w:tc>
          <w:tcPr>
            <w:tcW w:w="23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СuSO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4</w:t>
            </w: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мг/см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4905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0,0476</w:t>
            </w:r>
          </w:p>
        </w:tc>
      </w:tr>
    </w:tbl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Математическая обработка результатов параллельных измерений. За окончательный результат анализа принимают среднее арифметическое результатов двух параллельных определений, расхождение между которыми не превышает 10%.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Допустимое расхождение результатов параллельных определений (r) в процентах вычисляют (по формуле 7)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4886325" cy="762000"/>
            <wp:effectExtent l="0" t="0" r="9525" b="0"/>
            <wp:docPr id="2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где  x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bscript"/>
          <w:lang w:eastAsia="ru-RU"/>
        </w:rPr>
        <w:t>1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– больший результат из двух параллельных определений,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x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bscript"/>
          <w:lang w:eastAsia="ru-RU"/>
        </w:rPr>
        <w:t>2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– меньший результат из двух параллельных определений.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>
        <w:rPr>
          <w:rFonts w:ascii="Segoe UI" w:eastAsia="Times New Roman" w:hAnsi="Segoe UI" w:cs="Segoe UI"/>
          <w:noProof/>
          <w:color w:val="212529"/>
          <w:sz w:val="26"/>
          <w:szCs w:val="26"/>
          <w:lang w:eastAsia="ru-RU"/>
        </w:rPr>
        <w:drawing>
          <wp:inline distT="0" distB="0" distL="0" distR="0">
            <wp:extent cx="4610100" cy="762000"/>
            <wp:effectExtent l="0" t="0" r="0" b="0"/>
            <wp:docPr id="1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lastRenderedPageBreak/>
        <w:t>Результаты математической обработки представлены в таблице 5.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Таблица 5 – Результаты математической обработки данных анализа контрольной пробы</w:t>
      </w:r>
    </w:p>
    <w:tbl>
      <w:tblPr>
        <w:tblW w:w="12840" w:type="dxa"/>
        <w:tblInd w:w="-1701" w:type="dxa"/>
        <w:tblBorders>
          <w:top w:val="single" w:sz="6" w:space="0" w:color="9A9A9A"/>
          <w:left w:val="single" w:sz="6" w:space="0" w:color="9A9A9A"/>
          <w:bottom w:val="single" w:sz="6" w:space="0" w:color="9A9A9A"/>
          <w:right w:val="single" w:sz="6" w:space="0" w:color="9A9A9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3"/>
        <w:gridCol w:w="2980"/>
        <w:gridCol w:w="1888"/>
        <w:gridCol w:w="2169"/>
        <w:gridCol w:w="3510"/>
      </w:tblGrid>
      <w:tr w:rsidR="00440801" w:rsidRPr="00440801" w:rsidTr="0044080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Паралель</w:t>
            </w:r>
            <w:proofErr w:type="spell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измерения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мг/см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888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 </w:t>
            </w:r>
            <w:proofErr w:type="spellStart"/>
            <w:proofErr w:type="gram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69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 факт, %</w:t>
            </w:r>
          </w:p>
        </w:tc>
        <w:tc>
          <w:tcPr>
            <w:tcW w:w="351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Сu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2+</w:t>
            </w: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)ср, мг/см</w:t>
            </w:r>
            <w:r w:rsidRPr="0044080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440801" w:rsidRPr="00440801" w:rsidTr="0044080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0,0453</w:t>
            </w:r>
          </w:p>
        </w:tc>
        <w:tc>
          <w:tcPr>
            <w:tcW w:w="1888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9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4,95</w:t>
            </w:r>
          </w:p>
        </w:tc>
        <w:tc>
          <w:tcPr>
            <w:tcW w:w="3510" w:type="dxa"/>
            <w:vMerge w:val="restart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0,0465</w:t>
            </w:r>
          </w:p>
        </w:tc>
      </w:tr>
      <w:tr w:rsidR="00440801" w:rsidRPr="00440801" w:rsidTr="00440801">
        <w:tc>
          <w:tcPr>
            <w:tcW w:w="2293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980" w:type="dxa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F1F1F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40801" w:rsidRPr="00440801" w:rsidRDefault="00440801" w:rsidP="00440801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0,0476</w:t>
            </w: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440801" w:rsidRPr="00440801" w:rsidRDefault="00440801" w:rsidP="0044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440801" w:rsidRPr="00440801" w:rsidRDefault="00440801" w:rsidP="0044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vAlign w:val="center"/>
            <w:hideMark/>
          </w:tcPr>
          <w:p w:rsidR="00440801" w:rsidRPr="00440801" w:rsidRDefault="00440801" w:rsidP="00440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Исходя из математической обработки результатов анализа, массовая концентрация меди в контрольной пробе составляет 0,0465 мг/см</w:t>
      </w:r>
      <w:r w:rsidRPr="00440801">
        <w:rPr>
          <w:rFonts w:ascii="Segoe UI" w:eastAsia="Times New Roman" w:hAnsi="Segoe UI" w:cs="Segoe UI"/>
          <w:color w:val="212529"/>
          <w:sz w:val="20"/>
          <w:szCs w:val="20"/>
          <w:vertAlign w:val="superscript"/>
          <w:lang w:eastAsia="ru-RU"/>
        </w:rPr>
        <w:t>3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212529"/>
          <w:sz w:val="36"/>
          <w:szCs w:val="36"/>
          <w:lang w:eastAsia="ru-RU"/>
        </w:rPr>
      </w:pPr>
      <w:r w:rsidRPr="00440801">
        <w:rPr>
          <w:rFonts w:ascii="Arial" w:eastAsia="Times New Roman" w:hAnsi="Arial" w:cs="Arial"/>
          <w:color w:val="212529"/>
          <w:sz w:val="36"/>
          <w:szCs w:val="36"/>
          <w:lang w:eastAsia="ru-RU"/>
        </w:rPr>
        <w:t>Заключение</w:t>
      </w:r>
    </w:p>
    <w:p w:rsidR="00440801" w:rsidRPr="00440801" w:rsidRDefault="00440801" w:rsidP="00440801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</w:pPr>
      <w:r w:rsidRPr="00440801">
        <w:rPr>
          <w:rFonts w:ascii="Segoe UI" w:eastAsia="Times New Roman" w:hAnsi="Segoe UI" w:cs="Segoe UI"/>
          <w:b/>
          <w:bCs/>
          <w:color w:val="212529"/>
          <w:sz w:val="26"/>
          <w:szCs w:val="26"/>
          <w:lang w:eastAsia="ru-RU"/>
        </w:rPr>
        <w:t>Медь</w:t>
      </w:r>
      <w:r w:rsidRPr="00440801">
        <w:rPr>
          <w:rFonts w:ascii="Segoe UI" w:eastAsia="Times New Roman" w:hAnsi="Segoe UI" w:cs="Segoe UI"/>
          <w:color w:val="212529"/>
          <w:sz w:val="26"/>
          <w:szCs w:val="26"/>
          <w:lang w:eastAsia="ru-RU"/>
        </w:rPr>
        <w:t> – один из важнейших металлов, так как он играет важную роль во многих аспектах жизни человека. Добыча меди из медьсодержащих пород – важный технологический процесс, состоящий из множества этапов.</w:t>
      </w:r>
    </w:p>
    <w:p w:rsidR="00CB2BB3" w:rsidRDefault="00CB2BB3"/>
    <w:sectPr w:rsidR="00CB2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E77"/>
    <w:multiLevelType w:val="multilevel"/>
    <w:tmpl w:val="C1F8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B"/>
    <w:rsid w:val="00440801"/>
    <w:rsid w:val="00CB2BB3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8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8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40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8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8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08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408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08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8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080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4080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080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40801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408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44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4080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0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8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6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0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9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4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5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36" w:space="11" w:color="FFC107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2024-02-16T09:06:00Z</dcterms:created>
  <dcterms:modified xsi:type="dcterms:W3CDTF">2024-02-16T09:10:00Z</dcterms:modified>
</cp:coreProperties>
</file>