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01" w:rsidRDefault="00440801" w:rsidP="0044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</w:pPr>
      <w:r w:rsidRPr="00440801"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 xml:space="preserve">Основы  АХ ХФМА </w:t>
      </w:r>
      <w:proofErr w:type="spellStart"/>
      <w:r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>такхс</w:t>
      </w:r>
      <w:proofErr w:type="spellEnd"/>
      <w:r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 xml:space="preserve"> -21</w:t>
      </w:r>
    </w:p>
    <w:p w:rsidR="00440801" w:rsidRDefault="00440801" w:rsidP="0044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>Задание:  Конспект лекции</w:t>
      </w:r>
    </w:p>
    <w:p w:rsidR="00440801" w:rsidRDefault="00440801" w:rsidP="0044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831F"/>
          <w:sz w:val="24"/>
          <w:szCs w:val="24"/>
          <w:lang w:eastAsia="ru-RU"/>
        </w:rPr>
      </w:pPr>
      <w:r w:rsidRPr="00440801">
        <w:rPr>
          <w:rFonts w:ascii="Times New Roman" w:eastAsia="Times New Roman" w:hAnsi="Times New Roman" w:cs="Times New Roman"/>
          <w:color w:val="D9831F"/>
          <w:sz w:val="28"/>
          <w:szCs w:val="28"/>
          <w:lang w:eastAsia="ru-RU"/>
        </w:rPr>
        <w:t>Тема: Определение ионов меди(II) в водном растворе спектрофотометрическим методом</w:t>
      </w:r>
      <w:r w:rsidRPr="00440801">
        <w:rPr>
          <w:rFonts w:ascii="Times New Roman" w:eastAsia="Times New Roman" w:hAnsi="Times New Roman" w:cs="Times New Roman"/>
          <w:color w:val="D9831F"/>
          <w:sz w:val="24"/>
          <w:szCs w:val="24"/>
          <w:lang w:eastAsia="ru-RU"/>
        </w:rPr>
        <w:t>.</w:t>
      </w:r>
    </w:p>
    <w:p w:rsidR="00440801" w:rsidRPr="00440801" w:rsidRDefault="00440801" w:rsidP="0044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</w:t>
      </w:r>
    </w:p>
    <w:p w:rsidR="00440801" w:rsidRPr="00440801" w:rsidRDefault="00440801" w:rsidP="004408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080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0801" w:rsidRDefault="00440801" w:rsidP="0044080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440801" w:rsidRDefault="00440801" w:rsidP="0044080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440801" w:rsidRDefault="00440801" w:rsidP="0044080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440801" w:rsidRDefault="00440801" w:rsidP="0044080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440801" w:rsidRPr="00440801" w:rsidRDefault="00440801" w:rsidP="0044080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080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0801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Сущность метода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 практической части представлена методика определения ионов меди в виде аммиаката в водном растворе спектрофотометрическим методом.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Метод  измерения основан на взаимодейств</w:t>
      </w:r>
      <w:proofErr w:type="gram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ии ио</w:t>
      </w:r>
      <w:proofErr w:type="gram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нов меди (II) с аммиаком с образованием прочного окрашенного в синий цвет комплексного соединения. Интенсивность окраски пропорциональна концентрац</w:t>
      </w:r>
      <w:proofErr w:type="gram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ии ио</w:t>
      </w:r>
      <w:proofErr w:type="gram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нов </w:t>
      </w:r>
      <w:r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Химизм процесса представлен на рисунке 5.</w:t>
      </w:r>
    </w:p>
    <w:p w:rsidR="00440801" w:rsidRPr="00440801" w:rsidRDefault="00440801" w:rsidP="004408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2247900" cy="485775"/>
            <wp:effectExtent l="0" t="0" r="0" b="9525"/>
            <wp:docPr id="5" name="Рисунок 5" descr="Уравнение реакции взаимодействия ионов меди с амми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реакции взаимодействия ионов меди с аммиа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Рисунок 5 – Уравнение реакции взаимодействия ионов меди (II) с аммиаком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0801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Средства измерений, вспомогательные устройства, материалы, реактивы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 работе были использованы следующие аппаратура, реактивы и материалы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спектрофотометр Specol-1300;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весы аналитические лабораторные;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кюветы с толщиной поглощающего слоя 10 мм;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колбы мерные, вместимостью 50, 200 см3;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proofErr w:type="gram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пипетки</w:t>
      </w:r>
      <w:proofErr w:type="gram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градуированные вместимостью 10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аммиак водный 5%-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ный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раствор;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сульфат меди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пятиводный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(сухая соль);</w:t>
      </w:r>
    </w:p>
    <w:p w:rsidR="00440801" w:rsidRPr="00440801" w:rsidRDefault="00440801" w:rsidP="0044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вода дистиллированная.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0801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2.3 Приготовление растворов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Приготовление стандартного раствора сульфата меди (II). Навеску CuSO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bscript"/>
          <w:lang w:eastAsia="ru-RU"/>
        </w:rPr>
        <w:t>4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× 5H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bscript"/>
          <w:lang w:eastAsia="ru-RU"/>
        </w:rPr>
        <w:t>2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O, массой 0,7863 г количественно переносят в мерную колбу, вместимостью 200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, растворяют в дистиллированной воде, доводят этой водой до метки, перемешивают. В 1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раствора содержится 1,000 мг меди.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Приготовление 5%-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ного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раствора аммиака. 100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NH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bscript"/>
          <w:lang w:eastAsia="ru-RU"/>
        </w:rPr>
        <w:t>4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OH концентрированного приливают к 400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дистиллированной воды и перемешивают.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0801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2.4 Выполнение работы</w:t>
      </w:r>
      <w:bookmarkStart w:id="0" w:name="_GoBack"/>
      <w:bookmarkEnd w:id="0"/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Определение длины волны максимального поглощения света раствором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тетрааммиаката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меди. В мерную колбу отбирают 5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стандартного раствора сульфата меди, добавляют 6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 раствора аммиака, доводят до метки дистиллированной водой и перемешивают. По результатам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фотометрирования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полученного раствора (Таблица 2) строят спектр поглощения (Рисунок 6). Выбирают длину волны, соответствующую максимуму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светопоглощения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ru-RU"/>
        </w:rPr>
        <w:t>Таблица 2 – Зависимость оптической плотности от длины волны</w:t>
      </w:r>
    </w:p>
    <w:tbl>
      <w:tblPr>
        <w:tblW w:w="12840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275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440801" w:rsidRPr="00440801" w:rsidTr="00440801">
        <w:tc>
          <w:tcPr>
            <w:tcW w:w="9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λ, </w:t>
            </w:r>
            <w:proofErr w:type="spell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21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440801" w:rsidRPr="00440801" w:rsidTr="00440801">
        <w:tc>
          <w:tcPr>
            <w:tcW w:w="9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121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0,069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0,141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10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0,101</w:t>
            </w:r>
          </w:p>
        </w:tc>
      </w:tr>
    </w:tbl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</w:t>
      </w:r>
    </w:p>
    <w:p w:rsidR="00440801" w:rsidRPr="00440801" w:rsidRDefault="00440801" w:rsidP="004408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5238750" cy="3181350"/>
            <wp:effectExtent l="0" t="0" r="0" b="0"/>
            <wp:docPr id="4" name="Рисунок 4" descr="Спектр погло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ектр погло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Рисунок 6 – Спектр поглощения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Длина волны для выполнения измерений – 630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нм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Получение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градуировочной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зависимости. Из стандартного раствора сульфата меди готовят серию растворов для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градуирования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. Для этого в семь мерных колб вместимостью 50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пипеткой отбирают: 0,5; 1; 2; 2,5; 5; 7,5; 10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стандартного раствора, содержащего 1 мг/см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меди (II).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 каждую колбу добавляют по 6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5%-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ного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раствора аммиака, доводят до метки дистиллированной водой и перемешивают.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lastRenderedPageBreak/>
        <w:t>Выполняют измерения оптической плотности растворов через пять минут при выбранной длине волны, комплексные соединения остаются стабильными в течени</w:t>
      </w:r>
      <w:proofErr w:type="gram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и</w:t>
      </w:r>
      <w:proofErr w:type="gram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15 минут.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Результаты измерений серии стандартных растворов представлены в таблице 3.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ru-RU"/>
        </w:rPr>
        <w:t>Таблица 3 – Результаты измерений серии стандартных растворов</w:t>
      </w:r>
    </w:p>
    <w:tbl>
      <w:tblPr>
        <w:tblW w:w="12840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5544"/>
        <w:gridCol w:w="5735"/>
      </w:tblGrid>
      <w:tr w:rsidR="00440801" w:rsidRPr="00440801" w:rsidTr="00440801">
        <w:tc>
          <w:tcPr>
            <w:tcW w:w="1470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СuSO</w:t>
            </w:r>
            <w:r w:rsidRPr="0044080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4</w:t>
            </w: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см</w:t>
            </w:r>
            <w:r w:rsidRPr="0044080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40801" w:rsidRPr="00440801" w:rsidTr="00440801">
        <w:tc>
          <w:tcPr>
            <w:tcW w:w="0" w:type="auto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440801" w:rsidRPr="00440801" w:rsidRDefault="00440801" w:rsidP="0044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параллель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параллель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</w:tr>
      <w:tr w:rsidR="00440801" w:rsidRPr="00440801" w:rsidTr="00440801">
        <w:tc>
          <w:tcPr>
            <w:tcW w:w="147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2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540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</w:tr>
    </w:tbl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Получают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градуировочную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зависимость (Рисунок 7)</w:t>
      </w:r>
    </w:p>
    <w:p w:rsidR="00440801" w:rsidRPr="00440801" w:rsidRDefault="00440801" w:rsidP="004408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4800600" cy="2990850"/>
            <wp:effectExtent l="0" t="0" r="0" b="0"/>
            <wp:docPr id="3" name="Рисунок 3" descr="Градуировочный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дуировочный граф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Рисунок 7 -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Градуировочный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график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lastRenderedPageBreak/>
        <w:t>С помощью программного обеспечения «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Excel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» определяют уравнение линейной зависимости (Формула 6).</w:t>
      </w:r>
    </w:p>
    <w:p w:rsidR="00440801" w:rsidRPr="00440801" w:rsidRDefault="00440801" w:rsidP="00440801">
      <w:pPr>
        <w:shd w:val="clear" w:color="auto" w:fill="FFFFFF"/>
        <w:spacing w:after="100" w:line="240" w:lineRule="auto"/>
        <w:rPr>
          <w:rFonts w:ascii="Segoe UI" w:eastAsia="Times New Roman" w:hAnsi="Segoe UI" w:cs="Segoe UI"/>
          <w:i/>
          <w:iCs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i/>
          <w:iCs/>
          <w:color w:val="212529"/>
          <w:sz w:val="26"/>
          <w:szCs w:val="26"/>
          <w:lang w:eastAsia="ru-RU"/>
        </w:rPr>
        <w:t>x=  y/0,8396                                                                   (6)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где y - оптическая плотность исследуемого раствора;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x - массовая концентрация железа в исследуемом растворе.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Выполнение измерений. Аликвотную часть контрольной пробы, отбирают в колбу вместимостью 50 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, комплексные соединения формируют так же, проводят измерения оптической плотности при длине волны 630 </w:t>
      </w:r>
      <w:proofErr w:type="spellStart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нм</w:t>
      </w:r>
      <w:proofErr w:type="spellEnd"/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Вычисление результата определений. Вычисляют массовую концентрацию ионов меди в контрольной пробе по формуле 6 для каждого параллельного измерения.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ru-RU"/>
        </w:rPr>
        <w:t>Таблица 4 – Результаты анализа контрольной пробы</w:t>
      </w:r>
    </w:p>
    <w:tbl>
      <w:tblPr>
        <w:tblW w:w="12840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5345"/>
        <w:gridCol w:w="5095"/>
      </w:tblGrid>
      <w:tr w:rsidR="00440801" w:rsidRPr="00440801" w:rsidTr="00440801">
        <w:tc>
          <w:tcPr>
            <w:tcW w:w="23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параллель</w:t>
            </w:r>
          </w:p>
        </w:tc>
        <w:tc>
          <w:tcPr>
            <w:tcW w:w="49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параллель</w:t>
            </w:r>
          </w:p>
        </w:tc>
      </w:tr>
      <w:tr w:rsidR="00440801" w:rsidRPr="00440801" w:rsidTr="00440801">
        <w:tc>
          <w:tcPr>
            <w:tcW w:w="23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49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440801" w:rsidRPr="00440801" w:rsidTr="00440801">
        <w:tc>
          <w:tcPr>
            <w:tcW w:w="23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СuSO</w:t>
            </w:r>
            <w:r w:rsidRPr="0044080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мг/см</w:t>
            </w:r>
            <w:r w:rsidRPr="004408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0,0453</w:t>
            </w:r>
          </w:p>
        </w:tc>
        <w:tc>
          <w:tcPr>
            <w:tcW w:w="490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0,0476</w:t>
            </w:r>
          </w:p>
        </w:tc>
      </w:tr>
    </w:tbl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Математическая обработка результатов параллельных измерений. За окончательный результат анализа принимают среднее арифметическое результатов двух параллельных определений, расхождение между которыми не превышает 10%.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Допустимое расхождение результатов параллельных определений (r) в процентах вычисляют (по формуле 7)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4886325" cy="762000"/>
            <wp:effectExtent l="0" t="0" r="9525" b="0"/>
            <wp:docPr id="2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где  x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bscript"/>
          <w:lang w:eastAsia="ru-RU"/>
        </w:rPr>
        <w:t>1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– больший результат из двух параллельных определений,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x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bscript"/>
          <w:lang w:eastAsia="ru-RU"/>
        </w:rPr>
        <w:t>2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– меньший результат из двух параллельных определений.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4610100" cy="762000"/>
            <wp:effectExtent l="0" t="0" r="0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lastRenderedPageBreak/>
        <w:t>Результаты математической обработки представлены в таблице 5.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ru-RU"/>
        </w:rPr>
        <w:t>Таблица 5 – Результаты математической обработки данных анализа контрольной пробы</w:t>
      </w:r>
    </w:p>
    <w:tbl>
      <w:tblPr>
        <w:tblW w:w="12840" w:type="dxa"/>
        <w:tblInd w:w="-1701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2980"/>
        <w:gridCol w:w="1888"/>
        <w:gridCol w:w="2169"/>
        <w:gridCol w:w="3510"/>
      </w:tblGrid>
      <w:tr w:rsidR="00440801" w:rsidRPr="00440801" w:rsidTr="00440801">
        <w:tc>
          <w:tcPr>
            <w:tcW w:w="22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</w:t>
            </w:r>
            <w:proofErr w:type="spellEnd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98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</w:t>
            </w:r>
            <w:r w:rsidRPr="004408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мг/см</w:t>
            </w:r>
            <w:r w:rsidRPr="004408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</w:t>
            </w:r>
            <w:proofErr w:type="spellStart"/>
            <w:proofErr w:type="gram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факт, %</w:t>
            </w:r>
          </w:p>
        </w:tc>
        <w:tc>
          <w:tcPr>
            <w:tcW w:w="35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</w:t>
            </w:r>
            <w:r w:rsidRPr="004408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)ср, мг/см</w:t>
            </w:r>
            <w:r w:rsidRPr="004408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440801" w:rsidRPr="00440801" w:rsidTr="00440801">
        <w:tc>
          <w:tcPr>
            <w:tcW w:w="22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8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0,0453</w:t>
            </w:r>
          </w:p>
        </w:tc>
        <w:tc>
          <w:tcPr>
            <w:tcW w:w="1888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3510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0,0465</w:t>
            </w:r>
          </w:p>
        </w:tc>
      </w:tr>
      <w:tr w:rsidR="00440801" w:rsidRPr="00440801" w:rsidTr="00440801">
        <w:tc>
          <w:tcPr>
            <w:tcW w:w="22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8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801" w:rsidRPr="00440801" w:rsidRDefault="00440801" w:rsidP="0044080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0,0476</w:t>
            </w:r>
          </w:p>
        </w:tc>
        <w:tc>
          <w:tcPr>
            <w:tcW w:w="0" w:type="auto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440801" w:rsidRPr="00440801" w:rsidRDefault="00440801" w:rsidP="0044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440801" w:rsidRPr="00440801" w:rsidRDefault="00440801" w:rsidP="0044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440801" w:rsidRPr="00440801" w:rsidRDefault="00440801" w:rsidP="0044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Исходя из математической обработки результатов анализа, массовая концентрация меди в контрольной пробе составляет 0,0465 мг/см</w:t>
      </w:r>
      <w:r w:rsidRPr="00440801">
        <w:rPr>
          <w:rFonts w:ascii="Segoe UI" w:eastAsia="Times New Roman" w:hAnsi="Segoe UI" w:cs="Segoe UI"/>
          <w:color w:val="212529"/>
          <w:sz w:val="20"/>
          <w:szCs w:val="20"/>
          <w:vertAlign w:val="superscript"/>
          <w:lang w:eastAsia="ru-RU"/>
        </w:rPr>
        <w:t>3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440801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Заключение</w:t>
      </w:r>
    </w:p>
    <w:p w:rsidR="00440801" w:rsidRPr="00440801" w:rsidRDefault="00440801" w:rsidP="0044080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440801"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ru-RU"/>
        </w:rPr>
        <w:t>Медь</w:t>
      </w:r>
      <w:r w:rsidRPr="00440801"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> – один из важнейших металлов, так как он играет важную роль во многих аспектах жизни человека. Добыча меди из медьсодержащих пород – важный технологический процесс, состоящий из множества этапов.</w:t>
      </w:r>
    </w:p>
    <w:p w:rsidR="00CB2BB3" w:rsidRDefault="00CB2BB3"/>
    <w:sectPr w:rsidR="00CB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E77"/>
    <w:multiLevelType w:val="multilevel"/>
    <w:tmpl w:val="C1F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8B"/>
    <w:rsid w:val="00440801"/>
    <w:rsid w:val="00CB2BB3"/>
    <w:rsid w:val="00D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08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08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08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080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40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4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8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08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08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08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080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40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4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8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5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11" w:color="FFC10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2024-02-16T09:06:00Z</dcterms:created>
  <dcterms:modified xsi:type="dcterms:W3CDTF">2024-02-16T09:10:00Z</dcterms:modified>
</cp:coreProperties>
</file>